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Batang" w:cs="Times New Roman"/>
          <w:b/>
          <w:bCs/>
          <w:sz w:val="28"/>
          <w:lang w:val="en-US" w:eastAsia="en-US"/>
        </w:rPr>
      </w:pPr>
      <w:r>
        <w:rPr>
          <w:rFonts w:hint="eastAsia" w:ascii="Times New Roman" w:hAnsi="Times New Roman" w:eastAsia="Batang" w:cs="Times New Roman"/>
          <w:b/>
          <w:bCs/>
          <w:sz w:val="28"/>
          <w:lang w:eastAsia="en-US"/>
        </w:rPr>
        <w:t>3GPP TSG RAN WG1 #11</w:t>
      </w:r>
      <w:r>
        <w:rPr>
          <w:rFonts w:hint="default" w:ascii="Times New Roman" w:hAnsi="Times New Roman" w:eastAsia="Batang" w:cs="Times New Roman"/>
          <w:b/>
          <w:bCs/>
          <w:sz w:val="28"/>
          <w:lang w:val="en-US" w:eastAsia="en-US"/>
        </w:rPr>
        <w:t>3</w:t>
      </w:r>
      <w:r>
        <w:rPr>
          <w:rFonts w:hint="eastAsia" w:ascii="Times New Roman" w:hAnsi="Times New Roman" w:eastAsia="Batang" w:cs="Times New Roman"/>
          <w:b/>
          <w:bCs/>
          <w:sz w:val="28"/>
          <w:lang w:eastAsia="en-US"/>
        </w:rPr>
        <w:t xml:space="preserve">  </w:t>
      </w:r>
      <w:r>
        <w:rPr>
          <w:rFonts w:hint="eastAsia" w:ascii="Times New Roman" w:hAnsi="Times New Roman" w:eastAsia="Batang" w:cs="Times New Roman"/>
          <w:b/>
          <w:bCs/>
          <w:sz w:val="28"/>
          <w:lang w:eastAsia="en-US"/>
        </w:rPr>
        <w:tab/>
      </w:r>
      <w:r>
        <w:rPr>
          <w:rFonts w:hint="eastAsia" w:ascii="Times New Roman" w:hAnsi="Times New Roman" w:eastAsia="Batang" w:cs="Times New Roman"/>
          <w:b/>
          <w:bCs/>
          <w:sz w:val="28"/>
          <w:lang w:eastAsia="en-US"/>
        </w:rPr>
        <w:t xml:space="preserve">                           </w:t>
      </w:r>
      <w:r>
        <w:rPr>
          <w:rFonts w:hint="default" w:ascii="Times New Roman" w:hAnsi="Times New Roman" w:eastAsia="Batang" w:cs="Times New Roman"/>
          <w:b/>
          <w:bCs/>
          <w:sz w:val="28"/>
          <w:lang w:val="en-US" w:eastAsia="en-US"/>
        </w:rPr>
        <w:t xml:space="preserve">      </w:t>
      </w:r>
      <w:r>
        <w:rPr>
          <w:rFonts w:hint="eastAsia" w:ascii="Times New Roman" w:hAnsi="Times New Roman" w:eastAsia="Batang" w:cs="Times New Roman"/>
          <w:b/>
          <w:bCs/>
          <w:sz w:val="28"/>
          <w:lang w:eastAsia="en-US"/>
        </w:rPr>
        <w:t>R1-230</w:t>
      </w:r>
      <w:r>
        <w:rPr>
          <w:rFonts w:hint="default" w:ascii="Times New Roman" w:hAnsi="Times New Roman" w:eastAsia="Batang" w:cs="Times New Roman"/>
          <w:b/>
          <w:bCs/>
          <w:sz w:val="28"/>
          <w:lang w:val="en-US" w:eastAsia="en-US"/>
        </w:rPr>
        <w:t>5119</w:t>
      </w:r>
    </w:p>
    <w:p>
      <w:pPr>
        <w:keepNext w:val="0"/>
        <w:keepLines w:val="0"/>
        <w:pageBreakBefore w:val="0"/>
        <w:widowControl w:val="0"/>
        <w:kinsoku/>
        <w:wordWrap/>
        <w:overflowPunct/>
        <w:topLinePunct w:val="0"/>
        <w:autoSpaceDE/>
        <w:autoSpaceDN/>
        <w:bidi w:val="0"/>
        <w:adjustRightInd/>
        <w:snapToGrid/>
        <w:textAlignment w:val="auto"/>
        <w:outlineLvl w:val="9"/>
        <w:rPr>
          <w:rFonts w:hint="default" w:ascii="Times New Roman" w:hAnsi="Times New Roman" w:eastAsia="Batang" w:cs="Times New Roman"/>
          <w:b/>
          <w:bCs/>
          <w:sz w:val="28"/>
          <w:szCs w:val="24"/>
          <w:lang w:eastAsia="zh-CN"/>
        </w:rPr>
      </w:pPr>
      <w:bookmarkStart w:id="0" w:name="OLE_LINK4"/>
      <w:bookmarkStart w:id="1" w:name="OLE_LINK3"/>
      <w:r>
        <w:rPr>
          <w:rFonts w:hint="default" w:ascii="Times New Roman" w:hAnsi="Times New Roman" w:eastAsia="Batang" w:cs="Times New Roman"/>
          <w:b/>
          <w:bCs/>
          <w:sz w:val="28"/>
          <w:szCs w:val="24"/>
          <w:lang w:eastAsia="en-US"/>
        </w:rPr>
        <w:t>Incheon, Korea, May 22</w:t>
      </w:r>
      <w:r>
        <w:rPr>
          <w:rFonts w:hint="default" w:ascii="Times New Roman" w:hAnsi="Times New Roman" w:eastAsia="Batang" w:cs="Times New Roman"/>
          <w:b/>
          <w:bCs/>
          <w:sz w:val="28"/>
          <w:szCs w:val="24"/>
          <w:vertAlign w:val="superscript"/>
          <w:lang w:eastAsia="en-US"/>
        </w:rPr>
        <w:t>nd</w:t>
      </w:r>
      <w:r>
        <w:rPr>
          <w:rFonts w:hint="default" w:ascii="Times New Roman" w:hAnsi="Times New Roman" w:eastAsia="Batang" w:cs="Times New Roman"/>
          <w:b/>
          <w:bCs/>
          <w:sz w:val="28"/>
          <w:szCs w:val="24"/>
          <w:lang w:eastAsia="en-US"/>
        </w:rPr>
        <w:t xml:space="preserve"> – May 26</w:t>
      </w:r>
      <w:r>
        <w:rPr>
          <w:rFonts w:hint="default" w:ascii="Times New Roman" w:hAnsi="Times New Roman" w:eastAsia="Batang" w:cs="Times New Roman"/>
          <w:b/>
          <w:bCs/>
          <w:sz w:val="28"/>
          <w:szCs w:val="24"/>
          <w:vertAlign w:val="superscript"/>
          <w:lang w:eastAsia="en-US"/>
        </w:rPr>
        <w:t>th</w:t>
      </w:r>
      <w:r>
        <w:rPr>
          <w:rFonts w:hint="default" w:ascii="Times New Roman" w:hAnsi="Times New Roman" w:eastAsia="Batang" w:cs="Times New Roman"/>
          <w:b/>
          <w:bCs/>
          <w:sz w:val="28"/>
          <w:szCs w:val="24"/>
          <w:lang w:eastAsia="en-US"/>
        </w:rPr>
        <w:t>, 2023</w:t>
      </w:r>
    </w:p>
    <w:p>
      <w:pPr>
        <w:pStyle w:val="125"/>
        <w:spacing w:before="120" w:after="120"/>
        <w:rPr>
          <w:rFonts w:ascii="Times New Roman" w:hAnsi="Times New Roman"/>
          <w:sz w:val="24"/>
          <w:szCs w:val="24"/>
          <w:lang w:val="en-US"/>
        </w:rPr>
      </w:pPr>
    </w:p>
    <w:p>
      <w:pPr>
        <w:pStyle w:val="125"/>
        <w:spacing w:before="12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25"/>
        <w:spacing w:before="120" w:after="12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Discussion on UE features for NR NTN enhancements</w:t>
      </w:r>
    </w:p>
    <w:p>
      <w:pPr>
        <w:pStyle w:val="125"/>
        <w:spacing w:before="120" w:after="12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w:t>
      </w:r>
      <w:r>
        <w:rPr>
          <w:rFonts w:hint="default" w:ascii="Times New Roman" w:hAnsi="Times New Roman"/>
          <w:sz w:val="24"/>
          <w:szCs w:val="24"/>
          <w:lang w:val="en-US"/>
        </w:rPr>
        <w:t>16.5</w:t>
      </w:r>
    </w:p>
    <w:p>
      <w:pPr>
        <w:pStyle w:val="125"/>
        <w:spacing w:before="120" w:after="0" w:afterLines="10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r>
      <w:r>
        <w:rPr>
          <w:rFonts w:ascii="Times New Roman" w:hAnsi="Times New Roman"/>
          <w:sz w:val="24"/>
          <w:szCs w:val="24"/>
        </w:rPr>
        <w:t>Discussion &amp; Decision</w:t>
      </w:r>
    </w:p>
    <w:bookmarkEnd w:id="0"/>
    <w:bookmarkEnd w:id="1"/>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beforeLines="-2147483648" w:after="120" w:afterLines="-2147483648"/>
        <w:ind w:left="363" w:hanging="363"/>
        <w:rPr>
          <w:rFonts w:ascii="Times New Roman" w:hAnsi="Times New Roman"/>
          <w:sz w:val="28"/>
          <w:szCs w:val="28"/>
          <w:lang w:eastAsia="zh-CN"/>
        </w:rPr>
      </w:pPr>
      <w:bookmarkStart w:id="3" w:name="_Toc120549591"/>
      <w:bookmarkStart w:id="4" w:name="_Hlk521259925"/>
      <w:r>
        <w:rPr>
          <w:rFonts w:ascii="Times New Roman" w:hAnsi="Times New Roman"/>
          <w:sz w:val="28"/>
          <w:szCs w:val="28"/>
          <w:lang w:eastAsia="zh-CN"/>
        </w:rPr>
        <w:t>Introduction</w:t>
      </w:r>
      <w:bookmarkEnd w:id="3"/>
    </w:p>
    <w:p>
      <w:pPr>
        <w:spacing w:before="120" w:beforeLines="50" w:after="0" w:afterLines="100"/>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 xml:space="preserve">n this contribution, we will </w:t>
      </w:r>
      <w:r>
        <w:rPr>
          <w:rFonts w:hint="default" w:ascii="Times New Roman" w:hAnsi="Times New Roman" w:cs="Times New Roman"/>
          <w:bCs/>
          <w:iCs/>
          <w:sz w:val="20"/>
          <w:szCs w:val="20"/>
          <w:lang w:val="en-US"/>
        </w:rPr>
        <w:t xml:space="preserve">discuss and </w:t>
      </w:r>
      <w:r>
        <w:rPr>
          <w:rFonts w:ascii="Times New Roman" w:hAnsi="Times New Roman" w:cs="Times New Roman"/>
          <w:bCs/>
          <w:iCs/>
          <w:sz w:val="20"/>
          <w:szCs w:val="20"/>
        </w:rPr>
        <w:t xml:space="preserve">share our views on </w:t>
      </w:r>
      <w:r>
        <w:rPr>
          <w:rFonts w:hint="default" w:ascii="Times New Roman" w:hAnsi="Times New Roman" w:eastAsia="MS Mincho" w:cs="Times New Roman"/>
          <w:kern w:val="0"/>
          <w:sz w:val="20"/>
          <w:szCs w:val="20"/>
          <w:lang w:val="en-US" w:eastAsia="en-US"/>
        </w:rPr>
        <w:t>UE features for Rel-18 NR NTN enhancements</w:t>
      </w:r>
      <w:r>
        <w:rPr>
          <w:rFonts w:ascii="Times New Roman" w:hAnsi="Times New Roman" w:cs="Times New Roman"/>
          <w:bCs/>
          <w:iCs/>
          <w:sz w:val="20"/>
          <w:szCs w:val="20"/>
        </w:rPr>
        <w:t>.</w:t>
      </w:r>
    </w:p>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after="120"/>
        <w:ind w:left="363" w:hanging="363"/>
        <w:rPr>
          <w:rFonts w:ascii="Times New Roman" w:hAnsi="Times New Roman"/>
          <w:sz w:val="28"/>
          <w:szCs w:val="28"/>
          <w:lang w:eastAsia="zh-CN"/>
        </w:rPr>
      </w:pPr>
      <w:r>
        <w:rPr>
          <w:rFonts w:hint="default" w:ascii="Times New Roman" w:hAnsi="Times New Roman"/>
          <w:sz w:val="28"/>
          <w:szCs w:val="28"/>
          <w:lang w:eastAsia="zh-CN"/>
        </w:rPr>
        <w:t>D</w:t>
      </w:r>
      <w:r>
        <w:rPr>
          <w:rFonts w:ascii="Times New Roman" w:hAnsi="Times New Roman"/>
          <w:sz w:val="28"/>
          <w:szCs w:val="28"/>
          <w:lang w:eastAsia="zh-CN"/>
        </w:rPr>
        <w:t>iscussion</w:t>
      </w:r>
    </w:p>
    <w:p>
      <w:pPr>
        <w:pStyle w:val="3"/>
        <w:keepNext/>
        <w:keepLines w:val="0"/>
        <w:pageBreakBefore w:val="0"/>
        <w:widowControl/>
        <w:numPr>
          <w:ilvl w:val="1"/>
          <w:numId w:val="0"/>
        </w:numPr>
        <w:kinsoku/>
        <w:wordWrap/>
        <w:overflowPunct/>
        <w:topLinePunct w:val="0"/>
        <w:autoSpaceDE/>
        <w:autoSpaceDN/>
        <w:bidi w:val="0"/>
        <w:adjustRightInd/>
        <w:snapToGrid/>
        <w:spacing w:before="120" w:after="120"/>
        <w:textAlignment w:val="auto"/>
        <w:rPr>
          <w:rFonts w:hint="default"/>
          <w:b/>
          <w:bCs/>
          <w:sz w:val="24"/>
          <w:szCs w:val="32"/>
          <w:lang w:val="en-US"/>
        </w:rPr>
      </w:pPr>
      <w:r>
        <w:rPr>
          <w:b/>
          <w:bCs/>
          <w:sz w:val="24"/>
          <w:szCs w:val="32"/>
        </w:rPr>
        <w:t xml:space="preserve">2.1 </w:t>
      </w:r>
      <w:r>
        <w:rPr>
          <w:rFonts w:hint="default"/>
          <w:b/>
          <w:bCs/>
          <w:sz w:val="24"/>
          <w:szCs w:val="32"/>
          <w:lang w:val="en-US"/>
        </w:rPr>
        <w:t>UE feature for NTN coverage enhancement</w:t>
      </w:r>
    </w:p>
    <w:p>
      <w:pPr>
        <w:spacing w:before="120" w:beforeLines="50" w:after="120" w:afterLines="50"/>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The </w:t>
      </w:r>
      <w:r>
        <w:rPr>
          <w:rFonts w:hint="eastAsia" w:ascii="Times New Roman" w:hAnsi="Times New Roman" w:cs="Times New Roman"/>
          <w:sz w:val="20"/>
          <w:szCs w:val="20"/>
        </w:rPr>
        <w:t xml:space="preserve">work item </w:t>
      </w:r>
      <w:r>
        <w:rPr>
          <w:rFonts w:hint="default" w:ascii="Times New Roman" w:hAnsi="Times New Roman" w:cs="Times New Roman"/>
          <w:sz w:val="20"/>
          <w:szCs w:val="20"/>
          <w:lang w:val="en-US"/>
        </w:rPr>
        <w:t xml:space="preserve">“NR NTN enhancements” has been studied </w:t>
      </w:r>
      <w:r>
        <w:rPr>
          <w:rFonts w:hint="default" w:ascii="Times New Roman" w:hAnsi="Times New Roman" w:cs="Times New Roman"/>
          <w:bCs/>
          <w:iCs/>
          <w:sz w:val="20"/>
          <w:szCs w:val="20"/>
          <w:lang w:val="en-US"/>
        </w:rPr>
        <w:t xml:space="preserve">during previous RAN1 meetings, for the NR NTN coverage enhancements schemes, RAN1 mainly focus on the </w:t>
      </w:r>
      <w:r>
        <w:rPr>
          <w:rFonts w:ascii="Times New Roman" w:hAnsi="Times New Roman" w:cs="Times New Roman"/>
          <w:bCs/>
          <w:iCs/>
          <w:sz w:val="20"/>
          <w:szCs w:val="20"/>
        </w:rPr>
        <w:t>PUCCH enhancements for Msg4 HARQ-ACK and DMRS bundling in NTN</w:t>
      </w:r>
      <w:r>
        <w:rPr>
          <w:rFonts w:hint="default" w:ascii="Times New Roman" w:hAnsi="Times New Roman" w:cs="Times New Roman"/>
          <w:bCs/>
          <w:iCs/>
          <w:sz w:val="20"/>
          <w:szCs w:val="20"/>
          <w:lang w:val="en-US"/>
        </w:rPr>
        <w:t>, and progress are reached on supporting PUCCH repetition for Msg4 HARQ-ACK and PUSCH DMRS bundling in NTN scenarios.</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For PUCCH repetition for HARQ-ACK in NTN, UE may transmit the information of repetition request or capability report to inform gNB UE capable of PUCCH repetition for Msg4 HARQ-ACK, the corresponding WA achieved in previous meetings are listed below. </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keepNext w:val="0"/>
              <w:keepLines w:val="0"/>
              <w:pageBreakBefore w:val="0"/>
              <w:widowControl w:val="0"/>
              <w:kinsoku/>
              <w:wordWrap/>
              <w:overflowPunct/>
              <w:topLinePunct w:val="0"/>
              <w:autoSpaceDE/>
              <w:autoSpaceDN/>
              <w:bidi w:val="0"/>
              <w:adjustRightInd/>
              <w:snapToGrid w:val="0"/>
              <w:spacing w:before="0" w:beforeLines="50" w:after="0" w:afterLines="50"/>
              <w:textAlignment w:val="auto"/>
              <w:rPr>
                <w:rFonts w:hint="default" w:ascii="Times New Roman" w:hAnsi="Times New Roman" w:eastAsia="Batang" w:cs="Times New Roman"/>
                <w:b/>
                <w:sz w:val="20"/>
                <w:szCs w:val="16"/>
                <w:highlight w:val="darkYellow"/>
                <w:lang w:val="en-US" w:eastAsia="zh-CN"/>
              </w:rPr>
            </w:pPr>
            <w:r>
              <w:rPr>
                <w:rFonts w:hint="default" w:ascii="Times New Roman" w:hAnsi="Times New Roman" w:eastAsia="Batang" w:cs="Times New Roman"/>
                <w:b/>
                <w:sz w:val="20"/>
                <w:szCs w:val="16"/>
                <w:highlight w:val="darkYellow"/>
                <w:lang w:val="en-US" w:eastAsia="zh-CN"/>
              </w:rPr>
              <w:t>Working assumption</w:t>
            </w:r>
          </w:p>
          <w:p>
            <w:pPr>
              <w:snapToGrid w:val="0"/>
              <w:rPr>
                <w:rFonts w:hint="default" w:ascii="Times New Roman" w:hAnsi="Times New Roman" w:eastAsia="Batang" w:cs="Times New Roman"/>
                <w:sz w:val="20"/>
                <w:szCs w:val="16"/>
                <w:lang w:val="en-US"/>
              </w:rPr>
            </w:pPr>
            <w:r>
              <w:rPr>
                <w:rFonts w:hint="default" w:ascii="Times New Roman" w:hAnsi="Times New Roman" w:eastAsia="Batang" w:cs="Times New Roman"/>
                <w:sz w:val="20"/>
                <w:szCs w:val="16"/>
                <w:lang w:val="en-US"/>
              </w:rPr>
              <w:t>For PUCCH repetition for Msg4 HARQ-ACK,</w:t>
            </w:r>
          </w:p>
          <w:p>
            <w:pPr>
              <w:keepNext w:val="0"/>
              <w:keepLines w:val="0"/>
              <w:pageBreakBefore w:val="0"/>
              <w:widowControl w:val="0"/>
              <w:numPr>
                <w:ilvl w:val="0"/>
                <w:numId w:val="11"/>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Batang" w:cs="Times New Roman"/>
                <w:sz w:val="20"/>
                <w:szCs w:val="16"/>
                <w:lang w:val="en-US"/>
              </w:rPr>
            </w:pPr>
            <w:r>
              <w:rPr>
                <w:rFonts w:hint="default" w:ascii="Times New Roman" w:hAnsi="Times New Roman" w:eastAsia="Batang" w:cs="Times New Roman"/>
                <w:sz w:val="20"/>
                <w:szCs w:val="16"/>
                <w:lang w:val="en-US"/>
              </w:rPr>
              <w:t>A RSRP threshold can be configured via SIB at least when the number of repetitions is configured by SIB.</w:t>
            </w:r>
          </w:p>
          <w:p>
            <w:pPr>
              <w:keepNext w:val="0"/>
              <w:keepLines w:val="0"/>
              <w:pageBreakBefore w:val="0"/>
              <w:widowControl w:val="0"/>
              <w:numPr>
                <w:ilvl w:val="1"/>
                <w:numId w:val="12"/>
              </w:numPr>
              <w:kinsoku/>
              <w:wordWrap/>
              <w:overflowPunct/>
              <w:topLinePunct w:val="0"/>
              <w:autoSpaceDE/>
              <w:autoSpaceDN/>
              <w:bidi w:val="0"/>
              <w:adjustRightInd/>
              <w:snapToGrid w:val="0"/>
              <w:ind w:left="1259" w:hanging="420"/>
              <w:textAlignment w:val="auto"/>
              <w:rPr>
                <w:rFonts w:hint="default" w:ascii="Times New Roman" w:hAnsi="Times New Roman" w:eastAsia="Batang" w:cs="Times New Roman"/>
                <w:sz w:val="20"/>
                <w:szCs w:val="16"/>
                <w:lang w:val="en-US"/>
              </w:rPr>
            </w:pPr>
            <w:r>
              <w:rPr>
                <w:rFonts w:hint="default" w:ascii="Times New Roman" w:hAnsi="Times New Roman" w:eastAsia="Batang" w:cs="Times New Roman"/>
                <w:sz w:val="20"/>
                <w:szCs w:val="16"/>
                <w:lang w:val="en-US"/>
              </w:rPr>
              <w:t>If the RSRP threshold is configured and the configured RSRP threshold is smaller than X,</w:t>
            </w:r>
          </w:p>
          <w:p>
            <w:pPr>
              <w:keepNext w:val="0"/>
              <w:keepLines w:val="0"/>
              <w:pageBreakBefore w:val="0"/>
              <w:widowControl w:val="0"/>
              <w:numPr>
                <w:ilvl w:val="2"/>
                <w:numId w:val="12"/>
              </w:numPr>
              <w:kinsoku/>
              <w:wordWrap/>
              <w:overflowPunct/>
              <w:topLinePunct w:val="0"/>
              <w:autoSpaceDE/>
              <w:autoSpaceDN/>
              <w:bidi w:val="0"/>
              <w:adjustRightInd/>
              <w:snapToGrid w:val="0"/>
              <w:ind w:left="1678" w:hanging="420"/>
              <w:textAlignment w:val="auto"/>
              <w:rPr>
                <w:rFonts w:hint="default" w:ascii="Times New Roman" w:hAnsi="Times New Roman" w:eastAsia="Batang" w:cs="Times New Roman"/>
                <w:sz w:val="20"/>
                <w:szCs w:val="16"/>
                <w:lang w:val="en-US"/>
              </w:rPr>
            </w:pPr>
            <w:r>
              <w:rPr>
                <w:rFonts w:hint="default" w:ascii="Times New Roman" w:hAnsi="Times New Roman" w:eastAsia="Batang" w:cs="Times New Roman"/>
                <w:sz w:val="20"/>
                <w:szCs w:val="16"/>
                <w:lang w:val="en-US"/>
              </w:rPr>
              <w:t>UE capable of PUCCH repetition for Msg4 HARQ-ACK transmits repetition request if measured RSRP is lower than a RSRP threshold.</w:t>
            </w:r>
          </w:p>
          <w:p>
            <w:pPr>
              <w:keepNext w:val="0"/>
              <w:keepLines w:val="0"/>
              <w:pageBreakBefore w:val="0"/>
              <w:widowControl w:val="0"/>
              <w:numPr>
                <w:ilvl w:val="1"/>
                <w:numId w:val="12"/>
              </w:numPr>
              <w:kinsoku/>
              <w:wordWrap/>
              <w:overflowPunct/>
              <w:topLinePunct w:val="0"/>
              <w:autoSpaceDE/>
              <w:autoSpaceDN/>
              <w:bidi w:val="0"/>
              <w:adjustRightInd/>
              <w:snapToGrid w:val="0"/>
              <w:ind w:left="1259" w:hanging="420"/>
              <w:textAlignment w:val="auto"/>
              <w:rPr>
                <w:rFonts w:hint="default" w:ascii="Times New Roman" w:hAnsi="Times New Roman" w:eastAsia="Batang" w:cs="Times New Roman"/>
                <w:sz w:val="20"/>
                <w:szCs w:val="16"/>
                <w:lang w:val="en-US"/>
              </w:rPr>
            </w:pPr>
            <w:r>
              <w:rPr>
                <w:rFonts w:hint="default" w:ascii="Times New Roman" w:hAnsi="Times New Roman" w:eastAsia="Batang" w:cs="Times New Roman"/>
                <w:sz w:val="20"/>
                <w:szCs w:val="16"/>
                <w:lang w:val="en-US"/>
              </w:rPr>
              <w:t>If the RSRP threshold is not configured, or if the configured RSRP threshold is X,</w:t>
            </w:r>
          </w:p>
          <w:p>
            <w:pPr>
              <w:keepNext w:val="0"/>
              <w:keepLines w:val="0"/>
              <w:pageBreakBefore w:val="0"/>
              <w:widowControl w:val="0"/>
              <w:numPr>
                <w:ilvl w:val="2"/>
                <w:numId w:val="12"/>
              </w:numPr>
              <w:kinsoku/>
              <w:wordWrap/>
              <w:overflowPunct/>
              <w:topLinePunct w:val="0"/>
              <w:autoSpaceDE/>
              <w:autoSpaceDN/>
              <w:bidi w:val="0"/>
              <w:adjustRightInd/>
              <w:snapToGrid w:val="0"/>
              <w:ind w:left="1678" w:hanging="420"/>
              <w:textAlignment w:val="auto"/>
              <w:rPr>
                <w:rFonts w:hint="default" w:ascii="Times New Roman" w:hAnsi="Times New Roman" w:eastAsia="Batang" w:cs="Times New Roman"/>
                <w:sz w:val="20"/>
                <w:szCs w:val="16"/>
                <w:lang w:val="en-US"/>
              </w:rPr>
            </w:pPr>
            <w:r>
              <w:rPr>
                <w:rFonts w:hint="default" w:ascii="Times New Roman" w:hAnsi="Times New Roman" w:eastAsia="Batang" w:cs="Times New Roman"/>
                <w:sz w:val="20"/>
                <w:szCs w:val="16"/>
                <w:lang w:val="en-US"/>
              </w:rPr>
              <w:t>UE capable of PUCCH repetition for Msg4 HARQ-ACK reports the capability of PUCCH repetition for Msg4 HARQ-ACK</w:t>
            </w:r>
          </w:p>
          <w:p>
            <w:pPr>
              <w:keepNext w:val="0"/>
              <w:keepLines w:val="0"/>
              <w:pageBreakBefore w:val="0"/>
              <w:widowControl w:val="0"/>
              <w:numPr>
                <w:ilvl w:val="1"/>
                <w:numId w:val="12"/>
              </w:numPr>
              <w:kinsoku/>
              <w:wordWrap/>
              <w:overflowPunct/>
              <w:topLinePunct w:val="0"/>
              <w:autoSpaceDE/>
              <w:autoSpaceDN/>
              <w:bidi w:val="0"/>
              <w:adjustRightInd/>
              <w:snapToGrid w:val="0"/>
              <w:ind w:left="1259" w:hanging="420"/>
              <w:textAlignment w:val="auto"/>
              <w:rPr>
                <w:rFonts w:hint="default" w:ascii="Times New Roman" w:hAnsi="Times New Roman" w:eastAsia="Batang" w:cs="Times New Roman"/>
                <w:sz w:val="20"/>
                <w:szCs w:val="16"/>
                <w:lang w:val="en-US"/>
              </w:rPr>
            </w:pPr>
            <w:r>
              <w:rPr>
                <w:rFonts w:hint="default" w:ascii="Times New Roman" w:hAnsi="Times New Roman" w:eastAsia="Batang" w:cs="Times New Roman"/>
                <w:sz w:val="20"/>
                <w:szCs w:val="16"/>
                <w:lang w:val="en-US"/>
              </w:rPr>
              <w:t>FFS: value of X (the maximum configurable value of the RSRP threshold)</w:t>
            </w:r>
          </w:p>
          <w:p>
            <w:pPr>
              <w:keepNext w:val="0"/>
              <w:keepLines w:val="0"/>
              <w:pageBreakBefore w:val="0"/>
              <w:widowControl w:val="0"/>
              <w:numPr>
                <w:ilvl w:val="1"/>
                <w:numId w:val="12"/>
              </w:numPr>
              <w:kinsoku/>
              <w:wordWrap/>
              <w:overflowPunct/>
              <w:topLinePunct w:val="0"/>
              <w:autoSpaceDE/>
              <w:autoSpaceDN/>
              <w:bidi w:val="0"/>
              <w:adjustRightInd/>
              <w:snapToGrid w:val="0"/>
              <w:ind w:left="1259" w:hanging="420"/>
              <w:textAlignment w:val="auto"/>
              <w:rPr>
                <w:rFonts w:hint="default" w:ascii="Times New Roman" w:hAnsi="Times New Roman" w:eastAsia="Batang" w:cs="Times New Roman"/>
                <w:sz w:val="20"/>
                <w:szCs w:val="16"/>
                <w:lang w:val="en-US"/>
              </w:rPr>
            </w:pPr>
            <w:r>
              <w:rPr>
                <w:rFonts w:hint="default" w:ascii="Times New Roman" w:hAnsi="Times New Roman" w:eastAsia="Batang" w:cs="Times New Roman"/>
                <w:sz w:val="20"/>
                <w:szCs w:val="16"/>
                <w:lang w:val="en-US"/>
              </w:rPr>
              <w:t>Down-select one from the following alternatives for the RSRP threshold.</w:t>
            </w:r>
          </w:p>
          <w:p>
            <w:pPr>
              <w:keepNext w:val="0"/>
              <w:keepLines w:val="0"/>
              <w:pageBreakBefore w:val="0"/>
              <w:widowControl w:val="0"/>
              <w:numPr>
                <w:ilvl w:val="2"/>
                <w:numId w:val="12"/>
              </w:numPr>
              <w:kinsoku/>
              <w:wordWrap/>
              <w:overflowPunct/>
              <w:topLinePunct w:val="0"/>
              <w:autoSpaceDE/>
              <w:autoSpaceDN/>
              <w:bidi w:val="0"/>
              <w:adjustRightInd/>
              <w:snapToGrid w:val="0"/>
              <w:ind w:left="1678" w:hanging="420"/>
              <w:textAlignment w:val="auto"/>
              <w:rPr>
                <w:rFonts w:hint="default" w:ascii="Times New Roman" w:hAnsi="Times New Roman" w:eastAsia="Batang" w:cs="Times New Roman"/>
                <w:sz w:val="20"/>
                <w:szCs w:val="16"/>
                <w:lang w:val="en-US"/>
              </w:rPr>
            </w:pPr>
            <w:r>
              <w:rPr>
                <w:rFonts w:hint="default" w:ascii="Times New Roman" w:hAnsi="Times New Roman" w:eastAsia="Batang" w:cs="Times New Roman"/>
                <w:sz w:val="20"/>
                <w:szCs w:val="16"/>
                <w:lang w:val="en-US"/>
              </w:rPr>
              <w:t>Alt A: The same RSRP threshold as R17 Msg3 repetition (i.e., rsrp-ThresholdMsg3-r17) is used.</w:t>
            </w:r>
          </w:p>
          <w:p>
            <w:pPr>
              <w:keepNext w:val="0"/>
              <w:keepLines w:val="0"/>
              <w:pageBreakBefore w:val="0"/>
              <w:widowControl w:val="0"/>
              <w:numPr>
                <w:ilvl w:val="2"/>
                <w:numId w:val="12"/>
              </w:numPr>
              <w:kinsoku/>
              <w:wordWrap/>
              <w:overflowPunct/>
              <w:topLinePunct w:val="0"/>
              <w:autoSpaceDE/>
              <w:autoSpaceDN/>
              <w:bidi w:val="0"/>
              <w:adjustRightInd/>
              <w:snapToGrid w:val="0"/>
              <w:ind w:left="1678" w:hanging="420"/>
              <w:textAlignment w:val="auto"/>
              <w:rPr>
                <w:rFonts w:hint="default" w:ascii="Times New Roman" w:hAnsi="Times New Roman" w:eastAsia="Batang" w:cs="Times New Roman"/>
                <w:sz w:val="20"/>
                <w:szCs w:val="16"/>
                <w:lang w:val="en-US"/>
              </w:rPr>
            </w:pPr>
            <w:r>
              <w:rPr>
                <w:rFonts w:hint="default" w:ascii="Times New Roman" w:hAnsi="Times New Roman" w:eastAsia="Batang" w:cs="Times New Roman"/>
                <w:sz w:val="20"/>
                <w:szCs w:val="16"/>
                <w:lang w:val="en-US"/>
              </w:rPr>
              <w:t>Alt B: New RSRP threshold is introduced.</w:t>
            </w:r>
          </w:p>
          <w:p>
            <w:pPr>
              <w:keepNext w:val="0"/>
              <w:keepLines w:val="0"/>
              <w:pageBreakBefore w:val="0"/>
              <w:widowControl w:val="0"/>
              <w:numPr>
                <w:ilvl w:val="0"/>
                <w:numId w:val="11"/>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Batang" w:cs="Times New Roman"/>
                <w:sz w:val="20"/>
                <w:szCs w:val="16"/>
                <w:lang w:val="en-US"/>
              </w:rPr>
            </w:pPr>
            <w:r>
              <w:rPr>
                <w:rFonts w:hint="default" w:ascii="Times New Roman" w:hAnsi="Times New Roman" w:eastAsia="Batang" w:cs="Times New Roman"/>
                <w:sz w:val="20"/>
                <w:szCs w:val="16"/>
                <w:lang w:val="en-US"/>
              </w:rPr>
              <w:t>Note: UE incapable of PUCCH repetition for Msg4 HARQ-ACK transmits neither repetition request nor capability report</w:t>
            </w:r>
          </w:p>
          <w:p>
            <w:pPr>
              <w:keepNext w:val="0"/>
              <w:keepLines w:val="0"/>
              <w:pageBreakBefore w:val="0"/>
              <w:widowControl w:val="0"/>
              <w:tabs>
                <w:tab w:val="left" w:pos="1064"/>
              </w:tabs>
              <w:kinsoku/>
              <w:wordWrap/>
              <w:overflowPunct/>
              <w:topLinePunct w:val="0"/>
              <w:autoSpaceDE/>
              <w:autoSpaceDN/>
              <w:bidi w:val="0"/>
              <w:adjustRightInd/>
              <w:snapToGrid/>
              <w:spacing w:before="0" w:beforeLines="50" w:after="0" w:afterLines="50"/>
              <w:textAlignment w:val="auto"/>
              <w:rPr>
                <w:rFonts w:hint="default" w:ascii="Times New Roman" w:hAnsi="Times New Roman" w:eastAsia="Batang" w:cs="Times New Roman"/>
                <w:b/>
                <w:sz w:val="20"/>
                <w:szCs w:val="24"/>
                <w:lang w:eastAsia="zh-CN"/>
              </w:rPr>
            </w:pPr>
            <w:r>
              <w:rPr>
                <w:rFonts w:hint="default" w:ascii="Times New Roman" w:hAnsi="Times New Roman" w:eastAsia="Batang" w:cs="Times New Roman"/>
                <w:b/>
                <w:sz w:val="20"/>
                <w:szCs w:val="24"/>
                <w:highlight w:val="darkYellow"/>
                <w:lang w:eastAsia="zh-CN"/>
              </w:rPr>
              <w:t>Working assumption</w:t>
            </w:r>
          </w:p>
          <w:p>
            <w:pPr>
              <w:tabs>
                <w:tab w:val="left" w:pos="1064"/>
              </w:tabs>
              <w:rPr>
                <w:rFonts w:hint="default" w:ascii="Times New Roman" w:hAnsi="Times New Roman" w:eastAsia="Batang" w:cs="Times New Roman"/>
                <w:sz w:val="20"/>
                <w:szCs w:val="18"/>
                <w:lang w:val="en-US" w:eastAsia="en-US"/>
              </w:rPr>
            </w:pPr>
            <w:r>
              <w:rPr>
                <w:rFonts w:hint="default" w:ascii="Times New Roman" w:hAnsi="Times New Roman" w:eastAsia="Batang" w:cs="Times New Roman"/>
                <w:sz w:val="20"/>
                <w:szCs w:val="18"/>
                <w:lang w:val="en-US" w:eastAsia="en-US"/>
              </w:rPr>
              <w:t>For PUCCH repetition for Msg4 HARQ-ACK, support Option B as container of the repetition request or capability report indicated by UE.</w:t>
            </w:r>
          </w:p>
          <w:p>
            <w:pPr>
              <w:keepNext w:val="0"/>
              <w:keepLines w:val="0"/>
              <w:pageBreakBefore w:val="0"/>
              <w:widowControl w:val="0"/>
              <w:numPr>
                <w:ilvl w:val="0"/>
                <w:numId w:val="11"/>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Batang" w:cs="Times New Roman"/>
                <w:sz w:val="20"/>
                <w:szCs w:val="18"/>
                <w:lang w:val="en-US" w:eastAsia="en-US"/>
              </w:rPr>
            </w:pPr>
            <w:r>
              <w:rPr>
                <w:rFonts w:hint="default" w:ascii="Times New Roman" w:hAnsi="Times New Roman" w:eastAsia="Batang" w:cs="Times New Roman"/>
                <w:sz w:val="20"/>
                <w:szCs w:val="18"/>
                <w:lang w:val="en-US" w:eastAsia="en-US"/>
              </w:rPr>
              <w:t>Option B: Higher layer signaling in Msg3 PUSCH</w:t>
            </w:r>
          </w:p>
          <w:p>
            <w:pPr>
              <w:keepNext w:val="0"/>
              <w:keepLines w:val="0"/>
              <w:pageBreakBefore w:val="0"/>
              <w:widowControl w:val="0"/>
              <w:tabs>
                <w:tab w:val="left" w:pos="1064"/>
              </w:tabs>
              <w:kinsoku/>
              <w:wordWrap/>
              <w:overflowPunct/>
              <w:topLinePunct w:val="0"/>
              <w:autoSpaceDE/>
              <w:autoSpaceDN/>
              <w:bidi w:val="0"/>
              <w:adjustRightInd/>
              <w:snapToGrid/>
              <w:spacing w:before="0" w:beforeLines="50" w:after="0" w:afterLines="50"/>
              <w:textAlignment w:val="auto"/>
              <w:rPr>
                <w:rFonts w:hint="default"/>
                <w:bCs/>
                <w:iCs/>
                <w:lang w:val="en-US" w:eastAsia="en-US"/>
              </w:rPr>
            </w:pPr>
            <w:r>
              <w:rPr>
                <w:rFonts w:hint="default" w:ascii="Times New Roman" w:hAnsi="Times New Roman" w:eastAsia="Batang" w:cs="Times New Roman"/>
                <w:sz w:val="20"/>
                <w:szCs w:val="18"/>
                <w:lang w:val="en-US" w:eastAsia="en-US"/>
              </w:rPr>
              <w:t xml:space="preserve">Send an LS to RAN2 </w:t>
            </w:r>
            <w:r>
              <w:rPr>
                <w:rFonts w:hint="default" w:ascii="Times New Roman" w:hAnsi="Times New Roman" w:eastAsia="MS PGothic" w:cs="Times New Roman"/>
                <w:sz w:val="20"/>
                <w:lang w:val="en-US" w:eastAsia="en-US"/>
              </w:rPr>
              <w:t>at RAN1#113 to provide details of “repetition request or capability report”,</w:t>
            </w:r>
            <w:r>
              <w:rPr>
                <w:rFonts w:hint="default" w:ascii="Times New Roman" w:hAnsi="Times New Roman" w:eastAsia="MS PGothic" w:cs="Times New Roman"/>
                <w:sz w:val="20"/>
                <w:lang w:val="en-US"/>
              </w:rPr>
              <w:t xml:space="preserve"> </w:t>
            </w:r>
            <w:r>
              <w:rPr>
                <w:rFonts w:hint="default" w:ascii="Times New Roman" w:hAnsi="Times New Roman" w:eastAsia="Batang" w:cs="Times New Roman"/>
                <w:sz w:val="20"/>
                <w:szCs w:val="18"/>
                <w:lang w:val="en-US" w:eastAsia="en-US"/>
              </w:rPr>
              <w:t>to ask the feasibility of Option B, and if feasible, to specify the details of Option B.</w:t>
            </w:r>
          </w:p>
        </w:tc>
      </w:tr>
    </w:tbl>
    <w:p>
      <w:pPr>
        <w:spacing w:before="120" w:beforeLines="50" w:after="120" w:afterLines="50"/>
        <w:rPr>
          <w:rFonts w:ascii="Times New Roman" w:hAnsi="Times New Roman" w:cs="Times New Roman"/>
          <w:b/>
          <w:iCs/>
          <w:sz w:val="20"/>
          <w:szCs w:val="20"/>
        </w:rPr>
      </w:pPr>
      <w:r>
        <w:rPr>
          <w:rFonts w:hint="default" w:ascii="Times New Roman" w:hAnsi="Times New Roman" w:cs="Times New Roman"/>
          <w:bCs/>
          <w:iCs/>
          <w:sz w:val="20"/>
          <w:szCs w:val="20"/>
          <w:lang w:val="en-US"/>
        </w:rPr>
        <w:t>Therefore, one UE feature group for the support of PUCCH repetition for HARQ-ACK in NTN can be introduced, and the terminology for “PUCCH repetition for Msg4 HARQ-ACK” in NTN added in the components of FG can be further discussed.</w:t>
      </w:r>
    </w:p>
    <w:p>
      <w:pPr>
        <w:spacing w:before="120" w:beforeLines="50" w:after="120" w:afterLines="50"/>
        <w:rPr>
          <w:rFonts w:hint="default" w:ascii="Times New Roman" w:hAnsi="Times New Roman" w:cs="Times New Roman"/>
          <w:b/>
          <w:iCs/>
          <w:sz w:val="20"/>
          <w:szCs w:val="20"/>
          <w:lang w:val="en-US"/>
        </w:rPr>
      </w:pPr>
      <w:r>
        <w:rPr>
          <w:rFonts w:ascii="Times New Roman" w:hAnsi="Times New Roman" w:cs="Times New Roman"/>
          <w:b/>
          <w:iCs/>
          <w:sz w:val="20"/>
          <w:szCs w:val="20"/>
        </w:rPr>
        <w:t xml:space="preserve">Proposal </w:t>
      </w:r>
      <w:r>
        <w:rPr>
          <w:rFonts w:hint="default" w:ascii="Times New Roman" w:hAnsi="Times New Roman" w:cs="Times New Roman"/>
          <w:b/>
          <w:iCs/>
          <w:sz w:val="20"/>
          <w:szCs w:val="20"/>
          <w:lang w:val="en-US"/>
        </w:rPr>
        <w:t>1</w:t>
      </w:r>
      <w:r>
        <w:rPr>
          <w:rFonts w:ascii="Times New Roman" w:hAnsi="Times New Roman" w:cs="Times New Roman"/>
          <w:b/>
          <w:iCs/>
          <w:sz w:val="20"/>
          <w:szCs w:val="20"/>
        </w:rPr>
        <w:t>.</w:t>
      </w:r>
      <w:r>
        <w:rPr>
          <w:rFonts w:hint="default" w:ascii="Times New Roman" w:hAnsi="Times New Roman" w:cs="Times New Roman"/>
          <w:b/>
          <w:iCs/>
          <w:sz w:val="20"/>
          <w:szCs w:val="20"/>
          <w:lang w:val="en-US"/>
        </w:rPr>
        <w:t xml:space="preserve"> The</w:t>
      </w:r>
      <w:r>
        <w:rPr>
          <w:rFonts w:ascii="Times New Roman" w:hAnsi="Times New Roman" w:cs="Times New Roman"/>
          <w:b/>
          <w:iCs/>
          <w:sz w:val="20"/>
          <w:szCs w:val="20"/>
        </w:rPr>
        <w:t xml:space="preserve"> </w:t>
      </w:r>
      <w:r>
        <w:rPr>
          <w:rFonts w:hint="default" w:ascii="Times New Roman" w:hAnsi="Times New Roman" w:cs="Times New Roman"/>
          <w:b/>
          <w:iCs/>
          <w:sz w:val="20"/>
          <w:szCs w:val="20"/>
          <w:lang w:val="en-US"/>
        </w:rPr>
        <w:t xml:space="preserve">support of PUCCH repetition for Msg4 HARQ-ACK can be introduced as a new UE feature group for NR NTN enhancement. </w:t>
      </w:r>
    </w:p>
    <w:p>
      <w:pPr>
        <w:spacing w:before="120" w:beforeLines="50" w:after="120" w:afterLines="50"/>
        <w:rPr>
          <w:rFonts w:hint="default" w:ascii="Times New Roman" w:hAnsi="Times New Roman" w:cs="Times New Roman"/>
          <w:b/>
          <w:iCs/>
          <w:sz w:val="20"/>
          <w:szCs w:val="20"/>
          <w:lang w:val="en-US"/>
        </w:rPr>
      </w:pPr>
      <w:r>
        <w:rPr>
          <w:rFonts w:hint="default" w:ascii="Times New Roman" w:hAnsi="Times New Roman" w:cs="Times New Roman"/>
          <w:b w:val="0"/>
          <w:bCs/>
          <w:iCs/>
          <w:sz w:val="20"/>
          <w:szCs w:val="20"/>
          <w:lang w:val="en-US"/>
        </w:rPr>
        <w:t>For NTN-specific PUSCH DMRS bundling, it was agreed the TDW for DMRS bundling is determined based on gNB configuration, and UE capability reporting needs to be further discussed. Besides, it is assumed that UE shall not perform TA pre-compensation update within an actual TDW if it causes phase discontinuity that may violate the phase difference limit. From our perspective, the determination of TDW size should take the maximum time duration during which UE is able to maintain power consistency and phase continuity into consideration.</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19" w:type="dxa"/>
          </w:tcPr>
          <w:p>
            <w:pPr>
              <w:keepNext w:val="0"/>
              <w:keepLines w:val="0"/>
              <w:pageBreakBefore w:val="0"/>
              <w:widowControl w:val="0"/>
              <w:tabs>
                <w:tab w:val="left" w:pos="1064"/>
              </w:tabs>
              <w:kinsoku/>
              <w:wordWrap/>
              <w:overflowPunct/>
              <w:topLinePunct w:val="0"/>
              <w:autoSpaceDE/>
              <w:autoSpaceDN/>
              <w:bidi w:val="0"/>
              <w:adjustRightInd/>
              <w:snapToGrid/>
              <w:spacing w:before="0" w:beforeLines="50" w:after="0" w:afterLines="50"/>
              <w:textAlignment w:val="auto"/>
              <w:rPr>
                <w:rFonts w:hint="default" w:ascii="Times New Roman" w:hAnsi="Times New Roman" w:eastAsia="Batang" w:cs="Times New Roman"/>
                <w:b/>
                <w:sz w:val="20"/>
                <w:szCs w:val="24"/>
                <w:lang w:eastAsia="zh-CN"/>
              </w:rPr>
            </w:pPr>
            <w:r>
              <w:rPr>
                <w:rFonts w:hint="default" w:ascii="Times New Roman" w:hAnsi="Times New Roman" w:eastAsia="Batang" w:cs="Times New Roman"/>
                <w:b/>
                <w:sz w:val="20"/>
                <w:szCs w:val="24"/>
                <w:highlight w:val="darkYellow"/>
                <w:lang w:eastAsia="zh-CN"/>
              </w:rPr>
              <w:t>Working assumption</w:t>
            </w:r>
          </w:p>
          <w:p>
            <w:pPr>
              <w:keepNext w:val="0"/>
              <w:keepLines w:val="0"/>
              <w:pageBreakBefore w:val="0"/>
              <w:widowControl w:val="0"/>
              <w:tabs>
                <w:tab w:val="left" w:pos="1064"/>
              </w:tabs>
              <w:kinsoku/>
              <w:wordWrap/>
              <w:overflowPunct/>
              <w:topLinePunct w:val="0"/>
              <w:autoSpaceDE/>
              <w:autoSpaceDN/>
              <w:bidi w:val="0"/>
              <w:adjustRightInd/>
              <w:snapToGrid/>
              <w:spacing w:before="0" w:beforeLines="50" w:after="0" w:afterLines="50"/>
              <w:textAlignment w:val="auto"/>
              <w:rPr>
                <w:rFonts w:hint="default" w:ascii="Times New Roman" w:hAnsi="Times New Roman" w:eastAsia="Batang" w:cs="Times New Roman"/>
                <w:sz w:val="20"/>
                <w:szCs w:val="24"/>
                <w:lang w:eastAsia="zh-CN"/>
              </w:rPr>
            </w:pPr>
            <w:r>
              <w:rPr>
                <w:rFonts w:hint="default" w:ascii="Times New Roman" w:hAnsi="Times New Roman" w:eastAsia="Batang" w:cs="Times New Roman"/>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pPr>
              <w:numPr>
                <w:ilvl w:val="0"/>
                <w:numId w:val="12"/>
              </w:numPr>
              <w:snapToGrid w:val="0"/>
              <w:ind w:left="720"/>
              <w:rPr>
                <w:rFonts w:hint="default" w:ascii="Times New Roman" w:hAnsi="Times New Roman" w:eastAsia="Batang" w:cs="Times New Roman"/>
                <w:sz w:val="20"/>
                <w:szCs w:val="18"/>
                <w:lang w:val="en-US" w:eastAsia="en-US"/>
              </w:rPr>
            </w:pPr>
            <w:r>
              <w:rPr>
                <w:rFonts w:hint="default" w:ascii="Times New Roman" w:hAnsi="Times New Roman" w:eastAsia="Batang" w:cs="Times New Roman"/>
                <w:sz w:val="20"/>
                <w:szCs w:val="18"/>
                <w:lang w:val="en-US" w:eastAsia="en-US"/>
              </w:rPr>
              <w:t xml:space="preserve">UE shall not perform TA pre-compensation update </w:t>
            </w:r>
            <w:r>
              <w:rPr>
                <w:rFonts w:hint="default" w:ascii="Times New Roman" w:hAnsi="Times New Roman" w:eastAsia="宋体" w:cs="Times New Roman"/>
                <w:sz w:val="20"/>
                <w:szCs w:val="24"/>
                <w:lang w:val="en-US" w:eastAsia="en-US"/>
              </w:rPr>
              <w:t>within an actual TDW</w:t>
            </w:r>
            <w:r>
              <w:rPr>
                <w:rFonts w:hint="default" w:ascii="Times New Roman" w:hAnsi="Times New Roman" w:eastAsia="Batang" w:cs="Times New Roman"/>
                <w:sz w:val="20"/>
                <w:szCs w:val="18"/>
                <w:lang w:val="en-US" w:eastAsia="en-US"/>
              </w:rPr>
              <w:t xml:space="preserve"> if it causes phase discontinuity that may violate the p</w:t>
            </w:r>
            <w:r>
              <w:rPr>
                <w:rFonts w:hint="default" w:ascii="Times New Roman" w:hAnsi="Times New Roman" w:eastAsia="宋体" w:cs="Times New Roman"/>
                <w:sz w:val="20"/>
                <w:szCs w:val="24"/>
                <w:lang w:val="en-US" w:eastAsia="en-US"/>
              </w:rPr>
              <w:t>hase difference limit.</w:t>
            </w:r>
          </w:p>
          <w:p>
            <w:pPr>
              <w:numPr>
                <w:ilvl w:val="1"/>
                <w:numId w:val="12"/>
              </w:numPr>
              <w:snapToGrid w:val="0"/>
              <w:rPr>
                <w:rFonts w:hint="default" w:ascii="Times New Roman" w:hAnsi="Times New Roman" w:eastAsia="Batang" w:cs="Times New Roman"/>
                <w:sz w:val="20"/>
                <w:szCs w:val="18"/>
                <w:lang w:val="en-US" w:eastAsia="en-US"/>
              </w:rPr>
            </w:pPr>
            <w:r>
              <w:rPr>
                <w:rFonts w:hint="default" w:ascii="Times New Roman" w:hAnsi="Times New Roman" w:eastAsia="Batang" w:cs="Times New Roman"/>
                <w:sz w:val="20"/>
                <w:szCs w:val="18"/>
                <w:lang w:val="en-US" w:eastAsia="en-US"/>
              </w:rPr>
              <w:t>FFS: how to determine the actual TDW</w:t>
            </w:r>
          </w:p>
          <w:p>
            <w:pPr>
              <w:numPr>
                <w:ilvl w:val="0"/>
                <w:numId w:val="12"/>
              </w:numPr>
              <w:snapToGrid w:val="0"/>
              <w:ind w:left="720"/>
              <w:rPr>
                <w:rFonts w:hint="default" w:ascii="Times New Roman" w:hAnsi="Times New Roman" w:eastAsia="Batang" w:cs="Times New Roman"/>
                <w:sz w:val="20"/>
                <w:szCs w:val="18"/>
                <w:lang w:val="en-US" w:eastAsia="en-US"/>
              </w:rPr>
            </w:pPr>
            <w:r>
              <w:rPr>
                <w:rFonts w:hint="default" w:ascii="Times New Roman" w:hAnsi="Times New Roman" w:eastAsia="Batang" w:cs="Times New Roman"/>
                <w:sz w:val="20"/>
                <w:szCs w:val="18"/>
                <w:lang w:val="en-US" w:eastAsia="en-US"/>
              </w:rPr>
              <w:t>FFS: specification impact</w:t>
            </w:r>
          </w:p>
          <w:p>
            <w:pPr>
              <w:numPr>
                <w:ilvl w:val="0"/>
                <w:numId w:val="12"/>
              </w:numPr>
              <w:snapToGrid w:val="0"/>
              <w:ind w:left="720"/>
              <w:rPr>
                <w:rFonts w:hint="default" w:ascii="Times New Roman" w:hAnsi="Times New Roman" w:eastAsia="Batang" w:cs="Times New Roman"/>
                <w:sz w:val="20"/>
                <w:szCs w:val="18"/>
                <w:lang w:val="en-US" w:eastAsia="en-US"/>
              </w:rPr>
            </w:pPr>
            <w:r>
              <w:rPr>
                <w:rFonts w:hint="default" w:ascii="Times New Roman" w:hAnsi="Times New Roman" w:eastAsia="Batang" w:cs="Times New Roman"/>
                <w:sz w:val="20"/>
                <w:szCs w:val="18"/>
                <w:lang w:val="en-US" w:eastAsia="en-US"/>
              </w:rPr>
              <w:t>Send an LS to RAN4</w:t>
            </w:r>
          </w:p>
          <w:p>
            <w:pPr>
              <w:keepNext w:val="0"/>
              <w:keepLines w:val="0"/>
              <w:pageBreakBefore w:val="0"/>
              <w:widowControl w:val="0"/>
              <w:tabs>
                <w:tab w:val="left" w:pos="1064"/>
              </w:tabs>
              <w:kinsoku/>
              <w:wordWrap/>
              <w:overflowPunct/>
              <w:topLinePunct w:val="0"/>
              <w:autoSpaceDE/>
              <w:autoSpaceDN/>
              <w:bidi w:val="0"/>
              <w:adjustRightInd/>
              <w:snapToGrid/>
              <w:spacing w:before="0" w:beforeLines="50" w:after="0" w:afterLines="50"/>
              <w:textAlignment w:val="auto"/>
              <w:rPr>
                <w:rFonts w:hint="default" w:ascii="Times New Roman" w:hAnsi="Times New Roman" w:eastAsia="Batang" w:cs="Times New Roman"/>
                <w:b/>
                <w:sz w:val="20"/>
                <w:szCs w:val="24"/>
                <w:highlight w:val="green"/>
                <w:lang w:eastAsia="zh-CN"/>
              </w:rPr>
            </w:pPr>
            <w:r>
              <w:rPr>
                <w:rFonts w:hint="default" w:ascii="Times New Roman" w:hAnsi="Times New Roman" w:eastAsia="Batang" w:cs="Times New Roman"/>
                <w:b/>
                <w:sz w:val="20"/>
                <w:szCs w:val="24"/>
                <w:highlight w:val="green"/>
                <w:lang w:eastAsia="zh-CN"/>
              </w:rPr>
              <w:t>Agreement</w:t>
            </w:r>
          </w:p>
          <w:p>
            <w:pPr>
              <w:keepNext w:val="0"/>
              <w:keepLines w:val="0"/>
              <w:pageBreakBefore w:val="0"/>
              <w:widowControl w:val="0"/>
              <w:tabs>
                <w:tab w:val="left" w:pos="1064"/>
              </w:tabs>
              <w:kinsoku/>
              <w:wordWrap/>
              <w:overflowPunct/>
              <w:topLinePunct w:val="0"/>
              <w:autoSpaceDE/>
              <w:autoSpaceDN/>
              <w:bidi w:val="0"/>
              <w:adjustRightInd/>
              <w:snapToGrid/>
              <w:spacing w:before="0" w:beforeLines="50" w:after="0" w:afterLines="50"/>
              <w:textAlignment w:val="auto"/>
              <w:rPr>
                <w:rFonts w:hint="default" w:ascii="Times New Roman" w:hAnsi="Times New Roman" w:eastAsia="Batang" w:cs="Times New Roman"/>
                <w:sz w:val="20"/>
                <w:szCs w:val="18"/>
                <w:lang w:val="en-US" w:eastAsia="en-US"/>
              </w:rPr>
            </w:pPr>
            <w:r>
              <w:rPr>
                <w:rFonts w:hint="default" w:ascii="Times New Roman" w:hAnsi="Times New Roman" w:eastAsia="Batang" w:cs="Times New Roman"/>
                <w:sz w:val="20"/>
                <w:szCs w:val="18"/>
                <w:lang w:val="en-US" w:eastAsia="en-US"/>
              </w:rPr>
              <w:t>For NTN-specific PUSCH DMRS bundling, support Alt 2 for TDW determination.</w:t>
            </w:r>
          </w:p>
          <w:p>
            <w:pPr>
              <w:keepNext w:val="0"/>
              <w:keepLines w:val="0"/>
              <w:pageBreakBefore w:val="0"/>
              <w:widowControl w:val="0"/>
              <w:numPr>
                <w:ilvl w:val="0"/>
                <w:numId w:val="11"/>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Batang" w:cs="Times New Roman"/>
                <w:sz w:val="20"/>
                <w:szCs w:val="18"/>
                <w:lang w:val="en-US" w:eastAsia="en-US"/>
              </w:rPr>
            </w:pPr>
            <w:r>
              <w:rPr>
                <w:rFonts w:hint="default" w:ascii="Times New Roman" w:hAnsi="Times New Roman" w:eastAsia="Batang" w:cs="Times New Roman"/>
                <w:sz w:val="20"/>
                <w:szCs w:val="18"/>
                <w:lang w:val="en-US" w:eastAsia="en-US"/>
              </w:rPr>
              <w:t>Alt 2: gNB-centric TDW determination</w:t>
            </w:r>
          </w:p>
          <w:p>
            <w:pPr>
              <w:keepNext w:val="0"/>
              <w:keepLines w:val="0"/>
              <w:pageBreakBefore w:val="0"/>
              <w:widowControl w:val="0"/>
              <w:numPr>
                <w:ilvl w:val="1"/>
                <w:numId w:val="12"/>
              </w:numPr>
              <w:kinsoku/>
              <w:wordWrap/>
              <w:overflowPunct/>
              <w:topLinePunct w:val="0"/>
              <w:autoSpaceDE/>
              <w:autoSpaceDN/>
              <w:bidi w:val="0"/>
              <w:adjustRightInd/>
              <w:snapToGrid w:val="0"/>
              <w:ind w:left="1259" w:hanging="420"/>
              <w:textAlignment w:val="auto"/>
              <w:rPr>
                <w:rFonts w:hint="default" w:ascii="Times New Roman" w:hAnsi="Times New Roman" w:eastAsia="Batang" w:cs="Times New Roman"/>
                <w:sz w:val="20"/>
                <w:szCs w:val="18"/>
                <w:lang w:val="en-US" w:eastAsia="en-US"/>
              </w:rPr>
            </w:pPr>
            <w:r>
              <w:rPr>
                <w:rFonts w:hint="default" w:ascii="Times New Roman" w:hAnsi="Times New Roman" w:eastAsia="Batang" w:cs="Times New Roman"/>
                <w:sz w:val="20"/>
                <w:szCs w:val="16"/>
                <w:lang w:val="en-US" w:eastAsia="en-US"/>
              </w:rPr>
              <w:t xml:space="preserve">Nominal </w:t>
            </w:r>
            <w:r>
              <w:rPr>
                <w:rFonts w:hint="default" w:ascii="Times New Roman" w:hAnsi="Times New Roman" w:eastAsia="Batang" w:cs="Times New Roman"/>
                <w:sz w:val="20"/>
                <w:szCs w:val="18"/>
                <w:lang w:val="en-US" w:eastAsia="en-US"/>
              </w:rPr>
              <w:t>TDW is determined based on gNB configuration.</w:t>
            </w:r>
          </w:p>
          <w:p>
            <w:pPr>
              <w:keepNext w:val="0"/>
              <w:keepLines w:val="0"/>
              <w:pageBreakBefore w:val="0"/>
              <w:widowControl w:val="0"/>
              <w:numPr>
                <w:ilvl w:val="1"/>
                <w:numId w:val="12"/>
              </w:numPr>
              <w:kinsoku/>
              <w:wordWrap/>
              <w:overflowPunct/>
              <w:topLinePunct w:val="0"/>
              <w:autoSpaceDE/>
              <w:autoSpaceDN/>
              <w:bidi w:val="0"/>
              <w:adjustRightInd/>
              <w:snapToGrid w:val="0"/>
              <w:ind w:left="1259" w:hanging="420"/>
              <w:textAlignment w:val="auto"/>
              <w:rPr>
                <w:rFonts w:hint="default" w:ascii="Times New Roman" w:hAnsi="Times New Roman" w:eastAsia="Batang" w:cs="Times New Roman"/>
                <w:sz w:val="20"/>
                <w:szCs w:val="16"/>
                <w:lang w:val="en-US" w:eastAsia="en-US"/>
              </w:rPr>
            </w:pPr>
            <w:r>
              <w:rPr>
                <w:rFonts w:hint="default" w:ascii="Times New Roman" w:hAnsi="Times New Roman" w:eastAsia="Batang" w:cs="Times New Roman"/>
                <w:sz w:val="20"/>
                <w:szCs w:val="16"/>
                <w:lang w:val="en-US" w:eastAsia="en-US"/>
              </w:rPr>
              <w:t>Actual TDW is determined based on gNB configuration/indication.</w:t>
            </w:r>
          </w:p>
          <w:p>
            <w:pPr>
              <w:keepNext w:val="0"/>
              <w:keepLines w:val="0"/>
              <w:pageBreakBefore w:val="0"/>
              <w:widowControl w:val="0"/>
              <w:numPr>
                <w:ilvl w:val="1"/>
                <w:numId w:val="12"/>
              </w:numPr>
              <w:kinsoku/>
              <w:wordWrap/>
              <w:overflowPunct/>
              <w:topLinePunct w:val="0"/>
              <w:autoSpaceDE/>
              <w:autoSpaceDN/>
              <w:bidi w:val="0"/>
              <w:adjustRightInd/>
              <w:snapToGrid w:val="0"/>
              <w:ind w:left="1259" w:hanging="420"/>
              <w:textAlignment w:val="auto"/>
              <w:rPr>
                <w:rFonts w:hint="default" w:ascii="Times New Roman" w:hAnsi="Times New Roman" w:eastAsia="Batang" w:cs="Times New Roman"/>
                <w:sz w:val="20"/>
                <w:szCs w:val="16"/>
                <w:lang w:val="en-US" w:eastAsia="en-US"/>
              </w:rPr>
            </w:pPr>
            <w:r>
              <w:rPr>
                <w:rFonts w:hint="default" w:ascii="Times New Roman" w:hAnsi="Times New Roman" w:eastAsia="Batang" w:cs="Times New Roman"/>
                <w:sz w:val="20"/>
                <w:szCs w:val="16"/>
                <w:lang w:val="en-US" w:eastAsia="en-US"/>
              </w:rPr>
              <w:t>Note: Alt 2 does not imply that spec impact of actual TDW determination is assumed for NTN.</w:t>
            </w:r>
          </w:p>
          <w:p>
            <w:pPr>
              <w:keepNext w:val="0"/>
              <w:keepLines w:val="0"/>
              <w:pageBreakBefore w:val="0"/>
              <w:widowControl w:val="0"/>
              <w:numPr>
                <w:ilvl w:val="1"/>
                <w:numId w:val="12"/>
              </w:numPr>
              <w:kinsoku/>
              <w:wordWrap/>
              <w:overflowPunct/>
              <w:topLinePunct w:val="0"/>
              <w:autoSpaceDE/>
              <w:autoSpaceDN/>
              <w:bidi w:val="0"/>
              <w:adjustRightInd/>
              <w:snapToGrid w:val="0"/>
              <w:ind w:left="1259" w:hanging="420"/>
              <w:textAlignment w:val="auto"/>
              <w:rPr>
                <w:rFonts w:hint="default" w:ascii="Times New Roman" w:hAnsi="Times New Roman" w:eastAsia="Batang" w:cs="Times New Roman"/>
                <w:sz w:val="20"/>
                <w:szCs w:val="16"/>
                <w:lang w:val="en-US" w:eastAsia="en-US"/>
              </w:rPr>
            </w:pPr>
            <w:r>
              <w:rPr>
                <w:rFonts w:hint="default" w:ascii="Times New Roman" w:hAnsi="Times New Roman" w:eastAsia="Batang" w:cs="Times New Roman"/>
                <w:sz w:val="20"/>
                <w:szCs w:val="16"/>
                <w:lang w:val="en-US" w:eastAsia="en-US"/>
              </w:rPr>
              <w:t>FFS: details, including UE capability and assistance information reporting</w:t>
            </w:r>
          </w:p>
          <w:p>
            <w:pPr>
              <w:keepNext w:val="0"/>
              <w:keepLines w:val="0"/>
              <w:pageBreakBefore w:val="0"/>
              <w:widowControl w:val="0"/>
              <w:numPr>
                <w:ilvl w:val="0"/>
                <w:numId w:val="0"/>
              </w:numPr>
              <w:kinsoku/>
              <w:wordWrap/>
              <w:overflowPunct/>
              <w:topLinePunct w:val="0"/>
              <w:autoSpaceDE/>
              <w:autoSpaceDN/>
              <w:bidi w:val="0"/>
              <w:adjustRightInd/>
              <w:snapToGrid w:val="0"/>
              <w:spacing w:after="0" w:afterLines="50"/>
              <w:textAlignment w:val="auto"/>
              <w:rPr>
                <w:rFonts w:hint="default"/>
                <w:bCs/>
                <w:iCs/>
                <w:lang w:val="en-US" w:eastAsia="en-US"/>
              </w:rPr>
            </w:pPr>
          </w:p>
        </w:tc>
      </w:tr>
    </w:tbl>
    <w:p>
      <w:pPr>
        <w:spacing w:before="120" w:beforeLines="50" w:after="120" w:afterLines="50"/>
        <w:rPr>
          <w:rFonts w:hint="default" w:ascii="Times New Roman" w:hAnsi="Times New Roman" w:cs="Times New Roman"/>
          <w:b/>
          <w:iCs/>
          <w:sz w:val="20"/>
          <w:szCs w:val="20"/>
          <w:lang w:val="en-US"/>
        </w:rPr>
      </w:pPr>
      <w:r>
        <w:rPr>
          <w:rFonts w:hint="default" w:ascii="Times New Roman" w:hAnsi="Times New Roman" w:cs="Times New Roman"/>
          <w:bCs/>
          <w:iCs/>
          <w:sz w:val="20"/>
          <w:szCs w:val="20"/>
          <w:lang w:val="en-US"/>
        </w:rPr>
        <w:t xml:space="preserve">Therefore, one UE feature group for the support of UE reporting maximum duration during which UE can maintain the </w:t>
      </w:r>
      <w:r>
        <w:rPr>
          <w:rFonts w:hint="default" w:ascii="Times New Roman" w:hAnsi="Times New Roman" w:cs="Times New Roman"/>
          <w:b w:val="0"/>
          <w:bCs/>
          <w:iCs/>
          <w:sz w:val="20"/>
          <w:szCs w:val="20"/>
          <w:lang w:val="en-US"/>
        </w:rPr>
        <w:t>power consistency and phase continuity</w:t>
      </w:r>
      <w:r>
        <w:rPr>
          <w:rFonts w:hint="default" w:ascii="Times New Roman" w:hAnsi="Times New Roman" w:cs="Times New Roman"/>
          <w:bCs/>
          <w:iCs/>
          <w:sz w:val="20"/>
          <w:szCs w:val="20"/>
          <w:lang w:val="en-US"/>
        </w:rPr>
        <w:t xml:space="preserve"> in NTN can be introduced.</w:t>
      </w:r>
    </w:p>
    <w:p>
      <w:pPr>
        <w:spacing w:before="120" w:beforeLines="50" w:after="120" w:afterLines="50"/>
        <w:rPr>
          <w:rFonts w:hint="default" w:ascii="Times New Roman" w:hAnsi="Times New Roman" w:cs="Times New Roman"/>
          <w:b/>
          <w:iCs/>
          <w:sz w:val="20"/>
          <w:szCs w:val="20"/>
          <w:lang w:val="en-US"/>
        </w:rPr>
      </w:pPr>
      <w:r>
        <w:rPr>
          <w:rFonts w:hint="default" w:ascii="Times New Roman" w:hAnsi="Times New Roman" w:cs="Times New Roman"/>
          <w:b/>
          <w:iCs/>
          <w:sz w:val="20"/>
          <w:szCs w:val="20"/>
          <w:lang w:val="en-US"/>
        </w:rPr>
        <w:t>Proposal 2. The maximum duration for DMRS bundling reported by UE in NTN can be introduced as a new UE feature group for NR NTN enhancement.</w:t>
      </w:r>
    </w:p>
    <w:p>
      <w:pPr>
        <w:numPr>
          <w:ilvl w:val="0"/>
          <w:numId w:val="12"/>
        </w:numPr>
        <w:snapToGrid w:val="0"/>
        <w:ind w:left="720"/>
        <w:rPr>
          <w:rFonts w:hint="default" w:ascii="Times New Roman" w:hAnsi="Times New Roman" w:cs="Times New Roman"/>
          <w:bCs/>
          <w:iCs/>
          <w:sz w:val="20"/>
          <w:szCs w:val="20"/>
          <w:lang w:val="en-US"/>
        </w:rPr>
      </w:pPr>
      <w:r>
        <w:rPr>
          <w:rFonts w:hint="default" w:ascii="Times New Roman" w:hAnsi="Times New Roman" w:cs="Times New Roman"/>
          <w:b/>
          <w:iCs/>
          <w:sz w:val="20"/>
          <w:szCs w:val="20"/>
          <w:lang w:val="en-US"/>
        </w:rPr>
        <w:t>The maximum duration during which UE is able to maintain power consistency and phase continuity to support DMRS bundling for PUSCH in NTN</w:t>
      </w:r>
      <w:r>
        <w:rPr>
          <w:rFonts w:hint="default" w:ascii="Times New Roman" w:hAnsi="Times New Roman" w:cs="Times New Roman"/>
          <w:bCs/>
          <w:iCs/>
          <w:sz w:val="20"/>
          <w:szCs w:val="20"/>
          <w:lang w:val="en-US"/>
        </w:rPr>
        <w:t xml:space="preserve">  </w:t>
      </w:r>
    </w:p>
    <w:p>
      <w:pPr>
        <w:pStyle w:val="3"/>
        <w:numPr>
          <w:ilvl w:val="1"/>
          <w:numId w:val="0"/>
        </w:numPr>
        <w:spacing w:before="120" w:after="120"/>
        <w:rPr>
          <w:rFonts w:hint="eastAsia"/>
          <w:b/>
          <w:bCs/>
          <w:sz w:val="24"/>
          <w:szCs w:val="32"/>
        </w:rPr>
      </w:pPr>
      <w:r>
        <w:rPr>
          <w:b/>
          <w:bCs/>
          <w:sz w:val="24"/>
          <w:szCs w:val="32"/>
        </w:rPr>
        <w:t>2.</w:t>
      </w:r>
      <w:r>
        <w:rPr>
          <w:rFonts w:hint="default"/>
          <w:b/>
          <w:bCs/>
          <w:sz w:val="24"/>
          <w:szCs w:val="32"/>
          <w:lang w:val="en-US"/>
        </w:rPr>
        <w:t>2</w:t>
      </w:r>
      <w:r>
        <w:rPr>
          <w:b/>
          <w:bCs/>
          <w:sz w:val="24"/>
          <w:szCs w:val="32"/>
        </w:rPr>
        <w:t xml:space="preserve"> </w:t>
      </w:r>
      <w:r>
        <w:rPr>
          <w:rFonts w:hint="default"/>
          <w:b/>
          <w:bCs/>
          <w:sz w:val="24"/>
          <w:szCs w:val="32"/>
          <w:lang w:val="en-US"/>
        </w:rPr>
        <w:t>UE feature for ATG scenarios</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The work item of enhancements for NR NTN with implicit compatibility to support HAPS (High Altitude Platform Station) and ATG (Air To Ground) scenarios is included in both Rel-17 and Rel-18 scope, thus the feature groups introduced for NTN solutions can also be applicable to HAPS and ATG scenarios. However, when specifying the feature groups for Rel-17 NR NTN solutions, the note “This UE feature group is applicable only for bands in Table 5.2.2-1 in TS 38.101-5 and HAPS operation bands in Clause 5.2 of TS 38.104” added in the Feature 26 only mentioned satellite bands and HAPS bands, considering that ATG bands was not specified in the Rel-17 WI phase. </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ATG network deployment has been discussed in Rel-18 led by RAN4, and ATG operating bands in ATG network deployment scenarios specified by RAN4 are listed as below. From our perspective, as NR NTN solutions and enhancements are compatible with the ATG scenarios, with ATG operating bands already being specified, separate feature groups can be discussed and introduced in Rel-18. </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Batang" w:cs="Times New Roman"/>
                <w:b/>
                <w:sz w:val="20"/>
                <w:szCs w:val="24"/>
                <w:highlight w:val="none"/>
                <w:lang w:val="en-US" w:eastAsia="zh-CN"/>
              </w:rPr>
            </w:pPr>
            <w:r>
              <w:rPr>
                <w:rFonts w:hint="default" w:ascii="Times New Roman" w:hAnsi="Times New Roman" w:eastAsia="Batang" w:cs="Times New Roman"/>
                <w:b/>
                <w:sz w:val="20"/>
                <w:szCs w:val="24"/>
                <w:highlight w:val="none"/>
                <w:lang w:val="en-US" w:eastAsia="zh-CN"/>
              </w:rPr>
              <w:t>Clause 5 in TR 38.876 v0.3.0</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iCs/>
                <w:color w:val="auto"/>
                <w:kern w:val="2"/>
                <w:sz w:val="20"/>
                <w:szCs w:val="20"/>
                <w:lang w:val="en-US" w:eastAsia="zh-CN"/>
              </w:rPr>
            </w:pPr>
            <w:r>
              <w:rPr>
                <w:rFonts w:hint="default" w:ascii="Times New Roman" w:hAnsi="Times New Roman" w:eastAsia="MS Mincho" w:cs="Times New Roman"/>
                <w:iCs/>
                <w:color w:val="auto"/>
                <w:kern w:val="2"/>
                <w:sz w:val="20"/>
                <w:szCs w:val="20"/>
                <w:lang w:val="en-US" w:eastAsia="zh-CN"/>
              </w:rPr>
              <w:t>ATG will operate within existing NR operating bands and does not need new bands and band properties to be identified. Depending on the operator’s request, the following NR bands are intended for ATG deployment:</w:t>
            </w:r>
          </w:p>
          <w:p>
            <w:pPr>
              <w:keepNext w:val="0"/>
              <w:keepLines w:val="0"/>
              <w:pageBreakBefore w:val="0"/>
              <w:widowControl w:val="0"/>
              <w:kinsoku/>
              <w:wordWrap/>
              <w:overflowPunct/>
              <w:topLinePunct w:val="0"/>
              <w:autoSpaceDE/>
              <w:autoSpaceDN/>
              <w:bidi w:val="0"/>
              <w:adjustRightInd/>
              <w:snapToGrid/>
              <w:spacing w:before="0" w:beforeLines="50" w:after="0" w:afterLines="50"/>
              <w:jc w:val="center"/>
              <w:textAlignment w:val="auto"/>
              <w:rPr>
                <w:rFonts w:hint="default" w:ascii="Times New Roman" w:hAnsi="Times New Roman" w:eastAsia="MS Mincho" w:cs="Times New Roman"/>
                <w:iCs/>
                <w:color w:val="auto"/>
                <w:kern w:val="2"/>
                <w:sz w:val="20"/>
                <w:szCs w:val="20"/>
                <w:lang w:val="en-US" w:eastAsia="zh-CN"/>
              </w:rPr>
            </w:pPr>
            <w:r>
              <w:rPr>
                <w:rFonts w:hint="default" w:ascii="Times New Roman" w:hAnsi="Times New Roman" w:eastAsia="MS Mincho" w:cs="Times New Roman"/>
                <w:iCs/>
                <w:color w:val="auto"/>
                <w:kern w:val="2"/>
                <w:sz w:val="20"/>
                <w:szCs w:val="20"/>
                <w:lang w:val="en-US" w:eastAsia="zh-CN"/>
              </w:rPr>
              <w:t xml:space="preserve">Table 5-1: </w:t>
            </w:r>
            <w:r>
              <w:rPr>
                <w:rFonts w:hint="default" w:ascii="Times New Roman" w:hAnsi="Times New Roman" w:eastAsia="MS Mincho" w:cs="Times New Roman"/>
                <w:iCs/>
                <w:color w:val="auto"/>
                <w:sz w:val="20"/>
                <w:szCs w:val="20"/>
              </w:rPr>
              <w:t>ATG operating bands</w:t>
            </w:r>
          </w:p>
          <w:tbl>
            <w:tblPr>
              <w:tblStyle w:val="43"/>
              <w:tblW w:w="7737" w:type="dxa"/>
              <w:jc w:val="center"/>
              <w:tblLayout w:type="autofit"/>
              <w:tblCellMar>
                <w:top w:w="0" w:type="dxa"/>
                <w:left w:w="108" w:type="dxa"/>
                <w:bottom w:w="0" w:type="dxa"/>
                <w:right w:w="108" w:type="dxa"/>
              </w:tblCellMar>
            </w:tblPr>
            <w:tblGrid>
              <w:gridCol w:w="1161"/>
              <w:gridCol w:w="2715"/>
              <w:gridCol w:w="2953"/>
              <w:gridCol w:w="908"/>
            </w:tblGrid>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widowControl w:val="0"/>
                    <w:spacing w:after="0"/>
                    <w:jc w:val="center"/>
                    <w:rPr>
                      <w:rFonts w:hint="default" w:ascii="Times New Roman" w:hAnsi="Times New Roman" w:eastAsia="MS Mincho" w:cs="Times New Roman"/>
                      <w:b/>
                      <w:sz w:val="20"/>
                      <w:szCs w:val="20"/>
                    </w:rPr>
                  </w:pPr>
                  <w:r>
                    <w:rPr>
                      <w:rFonts w:hint="default" w:ascii="Times New Roman" w:hAnsi="Times New Roman" w:eastAsia="MS Mincho" w:cs="Times New Roman"/>
                      <w:b/>
                      <w:sz w:val="20"/>
                      <w:szCs w:val="20"/>
                    </w:rPr>
                    <w:t>NR operating band</w:t>
                  </w:r>
                </w:p>
              </w:tc>
              <w:tc>
                <w:tcPr>
                  <w:tcW w:w="2715"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eastAsia="MS Mincho" w:cs="Times New Roman"/>
                      <w:b/>
                      <w:sz w:val="20"/>
                      <w:szCs w:val="20"/>
                    </w:rPr>
                  </w:pPr>
                  <w:r>
                    <w:rPr>
                      <w:rFonts w:hint="default" w:ascii="Times New Roman" w:hAnsi="Times New Roman" w:eastAsia="MS Mincho" w:cs="Times New Roman"/>
                      <w:b/>
                      <w:sz w:val="20"/>
                      <w:szCs w:val="20"/>
                    </w:rPr>
                    <w:t xml:space="preserve">Uplink (UL) </w:t>
                  </w:r>
                  <w:r>
                    <w:rPr>
                      <w:rFonts w:hint="default" w:ascii="Times New Roman" w:hAnsi="Times New Roman" w:eastAsia="MS Mincho" w:cs="Times New Roman"/>
                      <w:b/>
                      <w:i/>
                      <w:sz w:val="20"/>
                      <w:szCs w:val="20"/>
                    </w:rPr>
                    <w:t>operating band</w:t>
                  </w:r>
                  <w:r>
                    <w:rPr>
                      <w:rFonts w:hint="default" w:ascii="Times New Roman" w:hAnsi="Times New Roman" w:eastAsia="MS Mincho" w:cs="Times New Roman"/>
                      <w:b/>
                      <w:sz w:val="20"/>
                      <w:szCs w:val="20"/>
                    </w:rPr>
                    <w:br w:type="textWrapping"/>
                  </w:r>
                  <w:r>
                    <w:rPr>
                      <w:rFonts w:hint="default" w:ascii="Times New Roman" w:hAnsi="Times New Roman" w:eastAsia="MS Mincho" w:cs="Times New Roman"/>
                      <w:b/>
                      <w:sz w:val="20"/>
                      <w:szCs w:val="20"/>
                    </w:rPr>
                    <w:t>BS receive / UE transmit</w:t>
                  </w:r>
                </w:p>
                <w:p>
                  <w:pPr>
                    <w:widowControl w:val="0"/>
                    <w:spacing w:after="0"/>
                    <w:jc w:val="center"/>
                    <w:rPr>
                      <w:rFonts w:hint="default" w:ascii="Times New Roman" w:hAnsi="Times New Roman" w:eastAsia="MS Mincho" w:cs="Times New Roman"/>
                      <w:b/>
                      <w:sz w:val="20"/>
                      <w:szCs w:val="20"/>
                      <w:vertAlign w:val="subscript"/>
                    </w:rPr>
                  </w:pPr>
                  <w:r>
                    <w:rPr>
                      <w:rFonts w:hint="default" w:ascii="Times New Roman" w:hAnsi="Times New Roman" w:eastAsia="MS Mincho" w:cs="Times New Roman"/>
                      <w:b/>
                      <w:sz w:val="20"/>
                      <w:szCs w:val="20"/>
                    </w:rPr>
                    <w:t>F</w:t>
                  </w:r>
                  <w:r>
                    <w:rPr>
                      <w:rFonts w:hint="default" w:ascii="Times New Roman" w:hAnsi="Times New Roman" w:eastAsia="MS Mincho" w:cs="Times New Roman"/>
                      <w:b/>
                      <w:sz w:val="20"/>
                      <w:szCs w:val="20"/>
                      <w:vertAlign w:val="subscript"/>
                    </w:rPr>
                    <w:t xml:space="preserve">UL_low </w:t>
                  </w:r>
                  <w:r>
                    <w:rPr>
                      <w:rFonts w:hint="default" w:ascii="Times New Roman" w:hAnsi="Times New Roman" w:eastAsia="MS Mincho" w:cs="Times New Roman"/>
                      <w:b/>
                      <w:sz w:val="20"/>
                      <w:szCs w:val="20"/>
                    </w:rPr>
                    <w:t xml:space="preserve">  –  F</w:t>
                  </w:r>
                  <w:r>
                    <w:rPr>
                      <w:rFonts w:hint="default" w:ascii="Times New Roman" w:hAnsi="Times New Roman" w:eastAsia="MS Mincho" w:cs="Times New Roman"/>
                      <w:b/>
                      <w:sz w:val="20"/>
                      <w:szCs w:val="20"/>
                      <w:vertAlign w:val="subscript"/>
                    </w:rPr>
                    <w:t>UL_high</w:t>
                  </w:r>
                </w:p>
              </w:tc>
              <w:tc>
                <w:tcPr>
                  <w:tcW w:w="2953" w:type="dxa"/>
                  <w:tcBorders>
                    <w:top w:val="single" w:color="auto" w:sz="4" w:space="0"/>
                    <w:left w:val="single" w:color="auto" w:sz="4" w:space="0"/>
                    <w:bottom w:val="single" w:color="auto" w:sz="4" w:space="0"/>
                    <w:right w:val="single" w:color="auto" w:sz="4" w:space="0"/>
                  </w:tcBorders>
                </w:tcPr>
                <w:p>
                  <w:pPr>
                    <w:widowControl w:val="0"/>
                    <w:spacing w:after="0"/>
                    <w:jc w:val="center"/>
                    <w:rPr>
                      <w:rFonts w:hint="default" w:ascii="Times New Roman" w:hAnsi="Times New Roman" w:eastAsia="MS Mincho" w:cs="Times New Roman"/>
                      <w:b/>
                      <w:sz w:val="20"/>
                      <w:szCs w:val="20"/>
                    </w:rPr>
                  </w:pPr>
                  <w:r>
                    <w:rPr>
                      <w:rFonts w:hint="default" w:ascii="Times New Roman" w:hAnsi="Times New Roman" w:eastAsia="MS Mincho" w:cs="Times New Roman"/>
                      <w:b/>
                      <w:sz w:val="20"/>
                      <w:szCs w:val="20"/>
                    </w:rPr>
                    <w:t xml:space="preserve">Downlink (DL) </w:t>
                  </w:r>
                  <w:r>
                    <w:rPr>
                      <w:rFonts w:hint="default" w:ascii="Times New Roman" w:hAnsi="Times New Roman" w:eastAsia="MS Mincho" w:cs="Times New Roman"/>
                      <w:b/>
                      <w:i/>
                      <w:sz w:val="20"/>
                      <w:szCs w:val="20"/>
                    </w:rPr>
                    <w:t>operating band</w:t>
                  </w:r>
                  <w:r>
                    <w:rPr>
                      <w:rFonts w:hint="default" w:ascii="Times New Roman" w:hAnsi="Times New Roman" w:eastAsia="MS Mincho" w:cs="Times New Roman"/>
                      <w:b/>
                      <w:sz w:val="20"/>
                      <w:szCs w:val="20"/>
                    </w:rPr>
                    <w:br w:type="textWrapping"/>
                  </w:r>
                  <w:r>
                    <w:rPr>
                      <w:rFonts w:hint="default" w:ascii="Times New Roman" w:hAnsi="Times New Roman" w:eastAsia="MS Mincho" w:cs="Times New Roman"/>
                      <w:b/>
                      <w:sz w:val="20"/>
                      <w:szCs w:val="20"/>
                    </w:rPr>
                    <w:t>BS transmit / UE receive</w:t>
                  </w:r>
                </w:p>
                <w:p>
                  <w:pPr>
                    <w:widowControl w:val="0"/>
                    <w:spacing w:after="0"/>
                    <w:jc w:val="center"/>
                    <w:rPr>
                      <w:rFonts w:hint="default" w:ascii="Times New Roman" w:hAnsi="Times New Roman" w:eastAsia="MS Mincho" w:cs="Times New Roman"/>
                      <w:b/>
                      <w:sz w:val="20"/>
                      <w:szCs w:val="20"/>
                    </w:rPr>
                  </w:pPr>
                  <w:r>
                    <w:rPr>
                      <w:rFonts w:hint="default" w:ascii="Times New Roman" w:hAnsi="Times New Roman" w:eastAsia="MS Mincho" w:cs="Times New Roman"/>
                      <w:b/>
                      <w:sz w:val="20"/>
                      <w:szCs w:val="20"/>
                    </w:rPr>
                    <w:t>F</w:t>
                  </w:r>
                  <w:r>
                    <w:rPr>
                      <w:rFonts w:hint="default" w:ascii="Times New Roman" w:hAnsi="Times New Roman" w:eastAsia="MS Mincho" w:cs="Times New Roman"/>
                      <w:b/>
                      <w:sz w:val="20"/>
                      <w:szCs w:val="20"/>
                      <w:vertAlign w:val="subscript"/>
                    </w:rPr>
                    <w:t>DL_low</w:t>
                  </w:r>
                  <w:r>
                    <w:rPr>
                      <w:rFonts w:hint="default" w:ascii="Times New Roman" w:hAnsi="Times New Roman" w:eastAsia="MS Mincho" w:cs="Times New Roman"/>
                      <w:b/>
                      <w:sz w:val="20"/>
                      <w:szCs w:val="20"/>
                    </w:rPr>
                    <w:t xml:space="preserve">   –  F</w:t>
                  </w:r>
                  <w:r>
                    <w:rPr>
                      <w:rFonts w:hint="default" w:ascii="Times New Roman" w:hAnsi="Times New Roman" w:eastAsia="MS Mincho" w:cs="Times New Roman"/>
                      <w:b/>
                      <w:sz w:val="20"/>
                      <w:szCs w:val="20"/>
                      <w:vertAlign w:val="subscript"/>
                    </w:rPr>
                    <w:t>DL_high</w:t>
                  </w:r>
                </w:p>
              </w:tc>
              <w:tc>
                <w:tcPr>
                  <w:tcW w:w="908" w:type="dxa"/>
                  <w:tcBorders>
                    <w:top w:val="single" w:color="auto" w:sz="4" w:space="0"/>
                    <w:left w:val="single" w:color="auto" w:sz="4" w:space="0"/>
                    <w:bottom w:val="nil"/>
                    <w:right w:val="single" w:color="auto" w:sz="4" w:space="0"/>
                  </w:tcBorders>
                </w:tcPr>
                <w:p>
                  <w:pPr>
                    <w:widowControl w:val="0"/>
                    <w:spacing w:after="0"/>
                    <w:jc w:val="center"/>
                    <w:rPr>
                      <w:rFonts w:hint="default" w:ascii="Times New Roman" w:hAnsi="Times New Roman" w:eastAsia="MS Mincho" w:cs="Times New Roman"/>
                      <w:b/>
                      <w:sz w:val="20"/>
                      <w:szCs w:val="20"/>
                    </w:rPr>
                  </w:pPr>
                  <w:r>
                    <w:rPr>
                      <w:rFonts w:hint="default" w:ascii="Times New Roman" w:hAnsi="Times New Roman" w:eastAsia="MS Mincho" w:cs="Times New Roman"/>
                      <w:b/>
                      <w:sz w:val="20"/>
                      <w:szCs w:val="20"/>
                    </w:rPr>
                    <w:t>Duplex Mode</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n1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1920 MHz – 1980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2110 MHz – 2170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n3</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1710 MHz – 1785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1805 MHz – 1880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n34</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2010 MHz – 2025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2010 MHz – 2025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n39</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1880 MHz – 1920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1880 MHz – 1920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n41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2496 MHz – 2690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2496 MHz – 2690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TDD</w:t>
                  </w:r>
                </w:p>
              </w:tc>
            </w:tr>
            <w:tr>
              <w:tblPrEx>
                <w:tblCellMar>
                  <w:top w:w="0" w:type="dxa"/>
                  <w:left w:w="108" w:type="dxa"/>
                  <w:bottom w:w="0" w:type="dxa"/>
                  <w:right w:w="108" w:type="dxa"/>
                </w:tblCellMar>
              </w:tblPrEx>
              <w:trPr>
                <w:trHeight w:val="218"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n78</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3300 MHz – 3800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3300 MHz – 3800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n79</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4400 MHz – 5000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4400 MHz – 5000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Times New Roman" w:hAnsi="Times New Roman" w:eastAsia="MS Mincho" w:cs="Times New Roman"/>
                      <w:sz w:val="20"/>
                      <w:szCs w:val="20"/>
                    </w:rPr>
                  </w:pPr>
                  <w:r>
                    <w:rPr>
                      <w:rFonts w:hint="default" w:ascii="Times New Roman" w:hAnsi="Times New Roman" w:eastAsia="MS Mincho" w:cs="Times New Roman"/>
                      <w:sz w:val="20"/>
                      <w:szCs w:val="20"/>
                    </w:rPr>
                    <w:t>TDD</w:t>
                  </w:r>
                </w:p>
              </w:tc>
            </w:tr>
          </w:tbl>
          <w:p>
            <w:pPr>
              <w:keepNext w:val="0"/>
              <w:keepLines w:val="0"/>
              <w:pageBreakBefore w:val="0"/>
              <w:widowControl w:val="0"/>
              <w:numPr>
                <w:ilvl w:val="0"/>
                <w:numId w:val="0"/>
              </w:numPr>
              <w:kinsoku/>
              <w:wordWrap/>
              <w:overflowPunct/>
              <w:topLinePunct w:val="0"/>
              <w:autoSpaceDE/>
              <w:autoSpaceDN/>
              <w:bidi w:val="0"/>
              <w:adjustRightInd/>
              <w:snapToGrid w:val="0"/>
              <w:textAlignment w:val="auto"/>
              <w:rPr>
                <w:rFonts w:hint="default" w:ascii="Times New Roman" w:hAnsi="Times New Roman" w:eastAsia="Batang" w:cs="Times New Roman"/>
                <w:sz w:val="20"/>
                <w:szCs w:val="16"/>
                <w:lang w:val="en-US" w:eastAsia="en-US"/>
              </w:rPr>
            </w:pPr>
          </w:p>
          <w:p>
            <w:pPr>
              <w:keepNext w:val="0"/>
              <w:keepLines w:val="0"/>
              <w:pageBreakBefore w:val="0"/>
              <w:widowControl w:val="0"/>
              <w:numPr>
                <w:ilvl w:val="0"/>
                <w:numId w:val="0"/>
              </w:numPr>
              <w:kinsoku/>
              <w:wordWrap/>
              <w:overflowPunct/>
              <w:topLinePunct w:val="0"/>
              <w:autoSpaceDE/>
              <w:autoSpaceDN/>
              <w:bidi w:val="0"/>
              <w:adjustRightInd/>
              <w:snapToGrid w:val="0"/>
              <w:spacing w:after="0"/>
              <w:textAlignment w:val="auto"/>
              <w:rPr>
                <w:rFonts w:hint="default" w:ascii="Times New Roman" w:hAnsi="Times New Roman" w:cs="Times New Roman"/>
                <w:bCs/>
                <w:iCs/>
                <w:sz w:val="20"/>
                <w:szCs w:val="20"/>
                <w:lang w:val="en-US" w:eastAsia="en-US"/>
              </w:rPr>
            </w:pPr>
          </w:p>
        </w:tc>
      </w:tr>
    </w:tbl>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From our perspective, at least increasing the number of HARQ processes for HARQ enhancements and K1 range extension for timing relationship enhancement are supported in ATG scenarios, extending K1 value range is beneficial to guarantee all 32 HARQ processes’ feedback can be multiplexed in a HARQ-ACK codebook, at least for TDD or half-duplex FDD, which is important for ATG and HAPS, corresponding agreements reached in RAN1 are listed as following.</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19"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highlight w:val="green"/>
                <w:lang w:eastAsia="zh-CN"/>
              </w:rPr>
              <w:t>Agreement: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w:t>
            </w:r>
            <w:r>
              <w:rPr>
                <w:rFonts w:hint="default" w:ascii="Times New Roman" w:hAnsi="Times New Roman" w:cs="Times New Roman"/>
                <w:sz w:val="20"/>
                <w:szCs w:val="20"/>
                <w:highlight w:val="none"/>
                <w:lang w:eastAsia="zh-CN"/>
              </w:rPr>
              <w:t xml:space="preserve"> unpaired spectrum,</w:t>
            </w:r>
            <w:r>
              <w:rPr>
                <w:rFonts w:hint="default" w:ascii="Times New Roman" w:hAnsi="Times New Roman" w:cs="Times New Roman"/>
                <w:sz w:val="20"/>
                <w:szCs w:val="20"/>
                <w:lang w:eastAsia="zh-CN"/>
              </w:rPr>
              <w:t xml:space="preserve"> extend the value range of K1 from (0..15) to (0..31) </w:t>
            </w:r>
          </w:p>
          <w:p>
            <w:pPr>
              <w:keepNext w:val="0"/>
              <w:keepLines w:val="0"/>
              <w:pageBreakBefore w:val="0"/>
              <w:widowControl w:val="0"/>
              <w:numPr>
                <w:ilvl w:val="0"/>
                <w:numId w:val="11"/>
              </w:numPr>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eastAsia="zh-CN"/>
              </w:rPr>
            </w:pPr>
            <w:r>
              <w:rPr>
                <w:rFonts w:hint="default" w:ascii="Times New Roman" w:hAnsi="Times New Roman" w:eastAsia="Batang" w:cs="Times New Roman"/>
                <w:sz w:val="20"/>
                <w:szCs w:val="20"/>
                <w:lang w:val="en-US" w:eastAsia="zh-CN"/>
              </w:rPr>
              <w:t>FFS</w:t>
            </w:r>
            <w:r>
              <w:rPr>
                <w:rFonts w:hint="default" w:ascii="Times New Roman" w:hAnsi="Times New Roman" w:cs="Times New Roman"/>
                <w:sz w:val="20"/>
                <w:szCs w:val="20"/>
                <w:lang w:eastAsia="zh-CN"/>
              </w:rPr>
              <w:t>: Whether there is an impact on the size of the PDSCH-to-HARQ_feedback timing indicator field in DCI.</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highlight w:val="green"/>
                <w:lang w:eastAsia="zh-CN"/>
              </w:rPr>
              <w:t>Agreement: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extension of maximal HARQ process number can be considered with following assumptions:</w:t>
            </w:r>
          </w:p>
          <w:p>
            <w:pPr>
              <w:keepNext w:val="0"/>
              <w:keepLines w:val="0"/>
              <w:pageBreakBefore w:val="0"/>
              <w:widowControl w:val="0"/>
              <w:numPr>
                <w:ilvl w:val="0"/>
                <w:numId w:val="11"/>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Batang" w:cs="Times New Roman"/>
                <w:sz w:val="20"/>
                <w:szCs w:val="18"/>
                <w:lang w:val="en-US" w:eastAsia="zh-CN"/>
              </w:rPr>
            </w:pPr>
            <w:r>
              <w:rPr>
                <w:rFonts w:hint="default" w:ascii="Times New Roman" w:hAnsi="Times New Roman" w:eastAsia="Batang" w:cs="Times New Roman"/>
                <w:sz w:val="20"/>
                <w:szCs w:val="18"/>
                <w:lang w:val="en-US" w:eastAsia="zh-CN"/>
              </w:rPr>
              <w:t>The maximal supported HARQ process number is up to 32.</w:t>
            </w:r>
          </w:p>
          <w:p>
            <w:pPr>
              <w:keepNext w:val="0"/>
              <w:keepLines w:val="0"/>
              <w:pageBreakBefore w:val="0"/>
              <w:widowControl w:val="0"/>
              <w:numPr>
                <w:ilvl w:val="0"/>
                <w:numId w:val="11"/>
              </w:numPr>
              <w:kinsoku/>
              <w:wordWrap/>
              <w:overflowPunct/>
              <w:topLinePunct w:val="0"/>
              <w:autoSpaceDE/>
              <w:autoSpaceDN/>
              <w:bidi w:val="0"/>
              <w:adjustRightInd/>
              <w:snapToGrid/>
              <w:spacing w:before="0" w:beforeLines="50" w:after="0" w:afterLines="50"/>
              <w:textAlignment w:val="auto"/>
              <w:rPr>
                <w:rFonts w:hint="default" w:ascii="Times New Roman" w:hAnsi="Times New Roman" w:eastAsia="Batang" w:cs="Times New Roman"/>
                <w:sz w:val="20"/>
                <w:szCs w:val="18"/>
                <w:lang w:val="en-US" w:eastAsia="zh-CN"/>
              </w:rPr>
            </w:pPr>
            <w:r>
              <w:rPr>
                <w:rFonts w:hint="default" w:ascii="Times New Roman" w:hAnsi="Times New Roman" w:eastAsia="Batang" w:cs="Times New Roman"/>
                <w:sz w:val="20"/>
                <w:szCs w:val="18"/>
                <w:lang w:val="en-US" w:eastAsia="zh-CN"/>
              </w:rPr>
              <w:t>FFS: Support on the maximal HARQ process number is up to UE capability</w:t>
            </w:r>
          </w:p>
          <w:p>
            <w:pPr>
              <w:keepNext w:val="0"/>
              <w:keepLines w:val="0"/>
              <w:pageBreakBefore w:val="0"/>
              <w:widowControl w:val="0"/>
              <w:numPr>
                <w:ilvl w:val="0"/>
                <w:numId w:val="11"/>
              </w:numPr>
              <w:kinsoku/>
              <w:wordWrap/>
              <w:overflowPunct/>
              <w:topLinePunct w:val="0"/>
              <w:autoSpaceDE/>
              <w:autoSpaceDN/>
              <w:bidi w:val="0"/>
              <w:adjustRightInd/>
              <w:snapToGrid/>
              <w:spacing w:before="0" w:beforeLines="50" w:after="0" w:afterLines="50"/>
              <w:textAlignment w:val="auto"/>
              <w:rPr>
                <w:rFonts w:hint="default"/>
                <w:bCs/>
                <w:iCs/>
                <w:lang w:val="en-US" w:eastAsia="en-US"/>
              </w:rPr>
            </w:pPr>
            <w:r>
              <w:rPr>
                <w:rFonts w:hint="default" w:ascii="Times New Roman" w:hAnsi="Times New Roman" w:eastAsia="Batang" w:cs="Times New Roman"/>
                <w:sz w:val="20"/>
                <w:szCs w:val="18"/>
                <w:lang w:val="en-US" w:eastAsia="zh-CN"/>
              </w:rPr>
              <w:t>Minimizin</w:t>
            </w:r>
            <w:r>
              <w:rPr>
                <w:rFonts w:hint="default" w:ascii="Times New Roman" w:hAnsi="Times New Roman" w:cs="Times New Roman"/>
                <w:sz w:val="20"/>
                <w:szCs w:val="20"/>
                <w:lang w:eastAsia="zh-CN"/>
              </w:rPr>
              <w:t>g the impacts on specification and scheduling</w:t>
            </w:r>
          </w:p>
        </w:tc>
      </w:tr>
    </w:tbl>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Therefore, it is proposed to introduce new feature groups for NR ATG network, and support of maximal supported HARQ process number reported by UE and extended K1 value range of (0..31) for unpaired spectrum can be introduced as the new UE feature groups for ATG scenarios.</w:t>
      </w:r>
    </w:p>
    <w:p>
      <w:pPr>
        <w:spacing w:before="120" w:beforeLines="50" w:after="120" w:afterLines="50"/>
        <w:rPr>
          <w:rFonts w:ascii="Times New Roman" w:hAnsi="Times New Roman" w:cs="Times New Roman"/>
          <w:b/>
          <w:iCs/>
          <w:sz w:val="20"/>
          <w:szCs w:val="20"/>
          <w:lang w:val="en-US" w:eastAsia="zh-CN"/>
        </w:rPr>
      </w:pPr>
      <w:r>
        <w:rPr>
          <w:rFonts w:ascii="Times New Roman" w:hAnsi="Times New Roman" w:cs="Times New Roman"/>
          <w:b/>
          <w:iCs/>
          <w:sz w:val="20"/>
          <w:szCs w:val="20"/>
          <w:lang w:val="en-US" w:eastAsia="zh-CN"/>
        </w:rPr>
        <w:t xml:space="preserve">Proposal </w:t>
      </w:r>
      <w:r>
        <w:rPr>
          <w:rFonts w:hint="default" w:ascii="Times New Roman" w:hAnsi="Times New Roman" w:cs="Times New Roman"/>
          <w:b/>
          <w:iCs/>
          <w:sz w:val="20"/>
          <w:szCs w:val="20"/>
          <w:lang w:val="en-US" w:eastAsia="zh-CN"/>
        </w:rPr>
        <w:t>3.</w:t>
      </w:r>
      <w:r>
        <w:rPr>
          <w:rFonts w:ascii="Times New Roman" w:hAnsi="Times New Roman" w:cs="Times New Roman"/>
          <w:b/>
          <w:iCs/>
          <w:sz w:val="20"/>
          <w:szCs w:val="20"/>
          <w:lang w:val="en-US" w:eastAsia="zh-CN"/>
        </w:rPr>
        <w:t xml:space="preserve"> Enhancement on the </w:t>
      </w:r>
      <w:r>
        <w:rPr>
          <w:rFonts w:hint="default" w:ascii="Times New Roman" w:hAnsi="Times New Roman" w:cs="Times New Roman"/>
          <w:b/>
          <w:iCs/>
          <w:sz w:val="20"/>
          <w:szCs w:val="20"/>
          <w:lang w:val="en-US" w:eastAsia="zh-CN"/>
        </w:rPr>
        <w:t>HARQ process number</w:t>
      </w:r>
      <w:r>
        <w:rPr>
          <w:rFonts w:ascii="Times New Roman" w:hAnsi="Times New Roman" w:cs="Times New Roman"/>
          <w:b/>
          <w:iCs/>
          <w:sz w:val="20"/>
          <w:szCs w:val="20"/>
          <w:lang w:val="en-US" w:eastAsia="zh-CN"/>
        </w:rPr>
        <w:t xml:space="preserve"> is </w:t>
      </w:r>
      <w:r>
        <w:rPr>
          <w:rFonts w:hint="default" w:ascii="Times New Roman" w:hAnsi="Times New Roman" w:cs="Times New Roman"/>
          <w:b/>
          <w:iCs/>
          <w:sz w:val="20"/>
          <w:szCs w:val="20"/>
          <w:lang w:val="en-US" w:eastAsia="zh-CN"/>
        </w:rPr>
        <w:t>introduced</w:t>
      </w:r>
      <w:r>
        <w:rPr>
          <w:rFonts w:ascii="Times New Roman" w:hAnsi="Times New Roman" w:cs="Times New Roman"/>
          <w:b/>
          <w:iCs/>
          <w:sz w:val="20"/>
          <w:szCs w:val="20"/>
          <w:lang w:val="en-US" w:eastAsia="zh-CN"/>
        </w:rPr>
        <w:t xml:space="preserve"> </w:t>
      </w:r>
      <w:r>
        <w:rPr>
          <w:rFonts w:hint="eastAsia" w:ascii="Times New Roman" w:hAnsi="Times New Roman" w:cs="Times New Roman"/>
          <w:b/>
          <w:iCs/>
          <w:sz w:val="20"/>
          <w:szCs w:val="20"/>
          <w:lang w:val="en-US" w:eastAsia="zh-CN"/>
        </w:rPr>
        <w:t>as</w:t>
      </w:r>
      <w:r>
        <w:rPr>
          <w:rFonts w:ascii="Times New Roman" w:hAnsi="Times New Roman" w:cs="Times New Roman"/>
          <w:b/>
          <w:iCs/>
          <w:sz w:val="20"/>
          <w:szCs w:val="20"/>
          <w:lang w:val="en-US" w:eastAsia="zh-CN"/>
        </w:rPr>
        <w:t xml:space="preserve"> a </w:t>
      </w:r>
      <w:r>
        <w:rPr>
          <w:rFonts w:hint="default" w:ascii="Times New Roman" w:hAnsi="Times New Roman" w:cs="Times New Roman"/>
          <w:b/>
          <w:iCs/>
          <w:sz w:val="20"/>
          <w:szCs w:val="20"/>
          <w:lang w:val="en-US" w:eastAsia="zh-CN"/>
        </w:rPr>
        <w:t xml:space="preserve">new </w:t>
      </w:r>
      <w:r>
        <w:rPr>
          <w:rFonts w:ascii="Times New Roman" w:hAnsi="Times New Roman" w:cs="Times New Roman"/>
          <w:b/>
          <w:iCs/>
          <w:sz w:val="20"/>
          <w:szCs w:val="20"/>
          <w:lang w:val="en-US" w:eastAsia="zh-CN"/>
        </w:rPr>
        <w:t xml:space="preserve">UE feature </w:t>
      </w:r>
      <w:r>
        <w:rPr>
          <w:rFonts w:hint="default" w:ascii="Times New Roman" w:hAnsi="Times New Roman" w:cs="Times New Roman"/>
          <w:b/>
          <w:iCs/>
          <w:sz w:val="20"/>
          <w:szCs w:val="20"/>
          <w:lang w:val="en-US" w:eastAsia="zh-CN"/>
        </w:rPr>
        <w:t xml:space="preserve">group for ATG scenarios, and add the note “This UE feature group is applicable only for bands in </w:t>
      </w:r>
      <w:r>
        <w:rPr>
          <w:rFonts w:hint="default" w:ascii="Times New Roman" w:hAnsi="Times New Roman" w:cs="Times New Roman"/>
          <w:b/>
          <w:iCs/>
          <w:sz w:val="20"/>
          <w:szCs w:val="20"/>
          <w:highlight w:val="none"/>
          <w:lang w:val="en-US" w:eastAsia="zh-CN"/>
        </w:rPr>
        <w:t>Table 5-1 in TR 38.876</w:t>
      </w:r>
      <w:r>
        <w:rPr>
          <w:rFonts w:hint="default" w:ascii="Times New Roman" w:hAnsi="Times New Roman" w:cs="Times New Roman"/>
          <w:b/>
          <w:iCs/>
          <w:sz w:val="20"/>
          <w:szCs w:val="20"/>
          <w:lang w:val="en-US" w:eastAsia="zh-CN"/>
        </w:rPr>
        <w:t>”</w:t>
      </w:r>
      <w:r>
        <w:rPr>
          <w:rFonts w:ascii="Times New Roman" w:hAnsi="Times New Roman" w:cs="Times New Roman"/>
          <w:b/>
          <w:iCs/>
          <w:sz w:val="20"/>
          <w:szCs w:val="20"/>
          <w:lang w:val="en-US" w:eastAsia="zh-CN"/>
        </w:rPr>
        <w:t>.</w:t>
      </w:r>
    </w:p>
    <w:p>
      <w:pPr>
        <w:spacing w:before="120" w:beforeLines="50" w:after="120" w:afterLines="50"/>
        <w:rPr>
          <w:rFonts w:ascii="Times New Roman" w:hAnsi="Times New Roman" w:cs="Times New Roman"/>
          <w:b/>
          <w:iCs/>
          <w:sz w:val="20"/>
          <w:szCs w:val="20"/>
          <w:highlight w:val="none"/>
          <w:lang w:val="en-US" w:eastAsia="zh-CN"/>
        </w:rPr>
      </w:pPr>
      <w:r>
        <w:rPr>
          <w:rFonts w:ascii="Times New Roman" w:hAnsi="Times New Roman" w:cs="Times New Roman"/>
          <w:b/>
          <w:iCs/>
          <w:sz w:val="20"/>
          <w:szCs w:val="20"/>
          <w:lang w:val="en-US" w:eastAsia="zh-CN"/>
        </w:rPr>
        <w:t xml:space="preserve">Proposal </w:t>
      </w:r>
      <w:r>
        <w:rPr>
          <w:rFonts w:hint="default" w:ascii="Times New Roman" w:hAnsi="Times New Roman" w:cs="Times New Roman"/>
          <w:b/>
          <w:iCs/>
          <w:sz w:val="20"/>
          <w:szCs w:val="20"/>
          <w:lang w:val="en-US" w:eastAsia="zh-CN"/>
        </w:rPr>
        <w:t>4.</w:t>
      </w:r>
      <w:r>
        <w:rPr>
          <w:rFonts w:ascii="Times New Roman" w:hAnsi="Times New Roman" w:cs="Times New Roman"/>
          <w:b/>
          <w:iCs/>
          <w:sz w:val="20"/>
          <w:szCs w:val="20"/>
          <w:lang w:val="en-US" w:eastAsia="zh-CN"/>
        </w:rPr>
        <w:t xml:space="preserve"> Enhancement on the </w:t>
      </w:r>
      <w:r>
        <w:rPr>
          <w:rFonts w:hint="default" w:ascii="Times New Roman" w:hAnsi="Times New Roman" w:cs="Times New Roman"/>
          <w:b/>
          <w:iCs/>
          <w:sz w:val="20"/>
          <w:szCs w:val="20"/>
          <w:lang w:val="en-US" w:eastAsia="zh-CN"/>
        </w:rPr>
        <w:t>K1 range extension</w:t>
      </w:r>
      <w:r>
        <w:rPr>
          <w:rFonts w:ascii="Times New Roman" w:hAnsi="Times New Roman" w:cs="Times New Roman"/>
          <w:b/>
          <w:iCs/>
          <w:sz w:val="20"/>
          <w:szCs w:val="20"/>
          <w:lang w:val="en-US" w:eastAsia="zh-CN"/>
        </w:rPr>
        <w:t xml:space="preserve"> is </w:t>
      </w:r>
      <w:r>
        <w:rPr>
          <w:rFonts w:hint="default" w:ascii="Times New Roman" w:hAnsi="Times New Roman" w:cs="Times New Roman"/>
          <w:b/>
          <w:iCs/>
          <w:sz w:val="20"/>
          <w:szCs w:val="20"/>
          <w:lang w:val="en-US" w:eastAsia="zh-CN"/>
        </w:rPr>
        <w:t>introduced</w:t>
      </w:r>
      <w:r>
        <w:rPr>
          <w:rFonts w:ascii="Times New Roman" w:hAnsi="Times New Roman" w:cs="Times New Roman"/>
          <w:b/>
          <w:iCs/>
          <w:sz w:val="20"/>
          <w:szCs w:val="20"/>
          <w:lang w:val="en-US" w:eastAsia="zh-CN"/>
        </w:rPr>
        <w:t xml:space="preserve"> </w:t>
      </w:r>
      <w:r>
        <w:rPr>
          <w:rFonts w:hint="eastAsia" w:ascii="Times New Roman" w:hAnsi="Times New Roman" w:cs="Times New Roman"/>
          <w:b/>
          <w:iCs/>
          <w:sz w:val="20"/>
          <w:szCs w:val="20"/>
          <w:lang w:val="en-US" w:eastAsia="zh-CN"/>
        </w:rPr>
        <w:t>as</w:t>
      </w:r>
      <w:r>
        <w:rPr>
          <w:rFonts w:ascii="Times New Roman" w:hAnsi="Times New Roman" w:cs="Times New Roman"/>
          <w:b/>
          <w:iCs/>
          <w:sz w:val="20"/>
          <w:szCs w:val="20"/>
          <w:lang w:val="en-US" w:eastAsia="zh-CN"/>
        </w:rPr>
        <w:t xml:space="preserve"> a </w:t>
      </w:r>
      <w:r>
        <w:rPr>
          <w:rFonts w:hint="default" w:ascii="Times New Roman" w:hAnsi="Times New Roman" w:cs="Times New Roman"/>
          <w:b/>
          <w:iCs/>
          <w:sz w:val="20"/>
          <w:szCs w:val="20"/>
          <w:lang w:val="en-US" w:eastAsia="zh-CN"/>
        </w:rPr>
        <w:t xml:space="preserve">new </w:t>
      </w:r>
      <w:r>
        <w:rPr>
          <w:rFonts w:ascii="Times New Roman" w:hAnsi="Times New Roman" w:cs="Times New Roman"/>
          <w:b/>
          <w:iCs/>
          <w:sz w:val="20"/>
          <w:szCs w:val="20"/>
          <w:lang w:val="en-US" w:eastAsia="zh-CN"/>
        </w:rPr>
        <w:t xml:space="preserve">UE feature </w:t>
      </w:r>
      <w:r>
        <w:rPr>
          <w:rFonts w:hint="default" w:ascii="Times New Roman" w:hAnsi="Times New Roman" w:cs="Times New Roman"/>
          <w:b/>
          <w:iCs/>
          <w:sz w:val="20"/>
          <w:szCs w:val="20"/>
          <w:lang w:val="en-US" w:eastAsia="zh-CN"/>
        </w:rPr>
        <w:t xml:space="preserve">group for ATG scenarios, and add the note “This UE feature group is applicable only for bands in </w:t>
      </w:r>
      <w:r>
        <w:rPr>
          <w:rFonts w:hint="default" w:ascii="Times New Roman" w:hAnsi="Times New Roman" w:cs="Times New Roman"/>
          <w:b/>
          <w:iCs/>
          <w:sz w:val="20"/>
          <w:szCs w:val="20"/>
          <w:highlight w:val="none"/>
          <w:lang w:val="en-US" w:eastAsia="zh-CN"/>
        </w:rPr>
        <w:t>Table 5-1 in TR 38.876”</w:t>
      </w:r>
      <w:r>
        <w:rPr>
          <w:rFonts w:ascii="Times New Roman" w:hAnsi="Times New Roman" w:cs="Times New Roman"/>
          <w:b/>
          <w:iCs/>
          <w:sz w:val="20"/>
          <w:szCs w:val="20"/>
          <w:highlight w:val="none"/>
          <w:lang w:val="en-US" w:eastAsia="zh-CN"/>
        </w:rPr>
        <w:t>.</w:t>
      </w:r>
    </w:p>
    <w:tbl>
      <w:tblPr>
        <w:tblStyle w:val="43"/>
        <w:tblpPr w:leftFromText="180" w:rightFromText="180" w:vertAnchor="text" w:horzAnchor="page" w:tblpX="1133" w:tblpY="-16"/>
        <w:tblOverlap w:val="never"/>
        <w:tblW w:w="10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959"/>
        <w:gridCol w:w="1077"/>
        <w:gridCol w:w="1077"/>
        <w:gridCol w:w="1077"/>
        <w:gridCol w:w="1077"/>
        <w:gridCol w:w="1077"/>
        <w:gridCol w:w="1757"/>
        <w:gridCol w:w="1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eastAsia="Times New Roman" w:cs="Times New Roman"/>
                <w:b/>
                <w:color w:val="000000"/>
                <w:sz w:val="15"/>
                <w:szCs w:val="15"/>
                <w:highlight w:val="none"/>
                <w:lang w:val="en-GB" w:eastAsia="ja-JP" w:bidi="ar-SA"/>
              </w:rPr>
              <w:t>Index</w:t>
            </w:r>
          </w:p>
        </w:tc>
        <w:tc>
          <w:tcPr>
            <w:tcW w:w="9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eastAsia="Times New Roman" w:cs="Times New Roman"/>
                <w:b/>
                <w:color w:val="000000"/>
                <w:sz w:val="15"/>
                <w:szCs w:val="15"/>
                <w:highlight w:val="none"/>
                <w:lang w:val="en-GB" w:eastAsia="ja-JP" w:bidi="ar-SA"/>
              </w:rPr>
              <w:t>Feature group</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eastAsia="Times New Roman" w:cs="Times New Roman"/>
                <w:b/>
                <w:color w:val="000000"/>
                <w:sz w:val="15"/>
                <w:szCs w:val="15"/>
                <w:highlight w:val="none"/>
                <w:lang w:val="en-GB" w:eastAsia="ja-JP" w:bidi="ar-SA"/>
              </w:rPr>
              <w:t>Components</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eastAsia="Times New Roman" w:cs="Times New Roman"/>
                <w:b/>
                <w:color w:val="000000"/>
                <w:sz w:val="15"/>
                <w:szCs w:val="15"/>
                <w:highlight w:val="none"/>
                <w:lang w:val="en-GB" w:eastAsia="ja-JP" w:bidi="ar-SA"/>
              </w:rPr>
              <w:t>Need for the gNB to know if the feature is supported</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eastAsia="Gulim" w:cs="Times New Roman"/>
                <w:b/>
                <w:color w:val="000000"/>
                <w:sz w:val="15"/>
                <w:szCs w:val="15"/>
                <w:highlight w:val="none"/>
                <w:lang w:val="en-GB" w:eastAsia="ja-JP" w:bidi="ar-SA"/>
              </w:rPr>
              <w:t xml:space="preserve">Applicable to </w:t>
            </w:r>
            <w:r>
              <w:rPr>
                <w:rFonts w:hint="default" w:ascii="Times New Roman" w:hAnsi="Times New Roman" w:eastAsia="Times New Roman" w:cs="Times New Roman"/>
                <w:b/>
                <w:color w:val="000000"/>
                <w:sz w:val="15"/>
                <w:szCs w:val="15"/>
                <w:highlight w:val="none"/>
                <w:lang w:val="en-GB" w:eastAsia="ja-JP" w:bidi="ar-SA"/>
              </w:rPr>
              <w:t>the capability signalling exchange between UEs (Sidelink WI only)”.</w:t>
            </w:r>
          </w:p>
        </w:tc>
        <w:tc>
          <w:tcPr>
            <w:tcW w:w="1077" w:type="dxa"/>
            <w:tcBorders>
              <w:top w:val="single" w:color="auto" w:sz="4" w:space="0"/>
              <w:left w:val="single" w:color="auto" w:sz="4" w:space="0"/>
              <w:bottom w:val="single" w:color="auto" w:sz="4" w:space="0"/>
              <w:right w:val="single" w:color="auto" w:sz="4" w:space="0"/>
            </w:tcBorders>
          </w:tcPr>
          <w:p>
            <w:pPr>
              <w:keepNext/>
              <w:keepLines/>
              <w:ind w:left="0" w:firstLine="0"/>
              <w:rPr>
                <w:rFonts w:hint="default" w:ascii="Times New Roman" w:hAnsi="Times New Roman" w:eastAsia="宋体" w:cs="Times New Roman"/>
                <w:b/>
                <w:color w:val="000000"/>
                <w:sz w:val="15"/>
                <w:szCs w:val="15"/>
                <w:highlight w:val="none"/>
                <w:lang w:val="en-GB" w:eastAsia="ja-JP" w:bidi="ar-SA"/>
              </w:rPr>
            </w:pPr>
            <w:r>
              <w:rPr>
                <w:rFonts w:hint="default" w:ascii="Times New Roman" w:hAnsi="Times New Roman" w:eastAsia="宋体" w:cs="Times New Roman"/>
                <w:b/>
                <w:color w:val="000000"/>
                <w:sz w:val="15"/>
                <w:szCs w:val="15"/>
                <w:highlight w:val="none"/>
                <w:lang w:val="en-GB" w:eastAsia="ja-JP" w:bidi="ar-SA"/>
              </w:rPr>
              <w:t>Consequence if the feature is not supported by the UE</w:t>
            </w:r>
          </w:p>
        </w:tc>
        <w:tc>
          <w:tcPr>
            <w:tcW w:w="1077" w:type="dxa"/>
            <w:tcBorders>
              <w:top w:val="single" w:color="auto" w:sz="4" w:space="0"/>
              <w:left w:val="single" w:color="auto" w:sz="4" w:space="0"/>
              <w:bottom w:val="single" w:color="auto" w:sz="4" w:space="0"/>
              <w:right w:val="single" w:color="auto" w:sz="4" w:space="0"/>
            </w:tcBorders>
          </w:tcPr>
          <w:p>
            <w:pPr>
              <w:keepNext/>
              <w:keepLines/>
              <w:ind w:left="0" w:firstLine="0"/>
              <w:rPr>
                <w:rFonts w:hint="default" w:ascii="Times New Roman" w:hAnsi="Times New Roman" w:eastAsia="宋体" w:cs="Times New Roman"/>
                <w:b/>
                <w:color w:val="000000"/>
                <w:sz w:val="15"/>
                <w:szCs w:val="15"/>
                <w:highlight w:val="none"/>
                <w:lang w:val="en-GB" w:eastAsia="ja-JP" w:bidi="ar-SA"/>
              </w:rPr>
            </w:pPr>
            <w:r>
              <w:rPr>
                <w:rFonts w:hint="default" w:ascii="Times New Roman" w:hAnsi="Times New Roman" w:eastAsia="宋体" w:cs="Times New Roman"/>
                <w:b/>
                <w:color w:val="000000"/>
                <w:sz w:val="15"/>
                <w:szCs w:val="15"/>
                <w:highlight w:val="none"/>
                <w:lang w:val="en-GB" w:eastAsia="ja-JP" w:bidi="ar-SA"/>
              </w:rPr>
              <w:t>Type</w:t>
            </w:r>
          </w:p>
          <w:p>
            <w:pPr>
              <w:keepNext/>
              <w:keepLines/>
              <w:ind w:left="0" w:firstLine="0"/>
              <w:rPr>
                <w:rFonts w:hint="default" w:ascii="Times New Roman" w:hAnsi="Times New Roman" w:eastAsia="宋体" w:cs="Times New Roman"/>
                <w:b/>
                <w:color w:val="000000"/>
                <w:sz w:val="15"/>
                <w:szCs w:val="15"/>
                <w:highlight w:val="none"/>
                <w:lang w:val="en-GB" w:eastAsia="ja-JP" w:bidi="ar-SA"/>
              </w:rPr>
            </w:pPr>
            <w:r>
              <w:rPr>
                <w:rFonts w:hint="default" w:ascii="Times New Roman" w:hAnsi="Times New Roman" w:eastAsia="宋体" w:cs="Times New Roman"/>
                <w:b/>
                <w:color w:val="000000"/>
                <w:sz w:val="15"/>
                <w:szCs w:val="15"/>
                <w:highlight w:val="none"/>
                <w:lang w:val="en-GB" w:eastAsia="ja-JP" w:bidi="ar-SA"/>
              </w:rPr>
              <w:t>(the ‘type’ definition from UE features should be based on the granularity of 1) Per UE or 2) Per Band or 3) Per BC or 4) Per FS or 5) Per FSPC)</w:t>
            </w:r>
          </w:p>
        </w:tc>
        <w:tc>
          <w:tcPr>
            <w:tcW w:w="175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eastAsia="Times New Roman" w:cs="Times New Roman"/>
                <w:b/>
                <w:color w:val="000000"/>
                <w:sz w:val="15"/>
                <w:szCs w:val="15"/>
                <w:highlight w:val="none"/>
                <w:lang w:val="en-GB" w:eastAsia="ja-JP" w:bidi="ar-SA"/>
              </w:rPr>
              <w:t>Note</w:t>
            </w:r>
          </w:p>
        </w:tc>
        <w:tc>
          <w:tcPr>
            <w:tcW w:w="15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eastAsia="Times New Roman" w:cs="Times New Roman"/>
                <w:b/>
                <w:color w:val="000000"/>
                <w:sz w:val="15"/>
                <w:szCs w:val="15"/>
                <w:highlight w:val="none"/>
                <w:lang w:val="en-GB" w:eastAsia="ja-JP" w:bidi="ar-SA"/>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9"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Times New Roman" w:cs="Times New Roman"/>
                <w:b w:val="0"/>
                <w:bCs/>
                <w:color w:val="000000"/>
                <w:sz w:val="15"/>
                <w:szCs w:val="15"/>
                <w:highlight w:val="none"/>
                <w:lang w:val="en-US" w:eastAsia="ja-JP" w:bidi="ar-SA"/>
              </w:rPr>
            </w:pPr>
            <w:r>
              <w:rPr>
                <w:rFonts w:hint="default" w:ascii="Times New Roman" w:hAnsi="Times New Roman" w:eastAsia="Times New Roman" w:cs="Times New Roman"/>
                <w:b w:val="0"/>
                <w:bCs/>
                <w:color w:val="000000"/>
                <w:sz w:val="15"/>
                <w:szCs w:val="15"/>
                <w:highlight w:val="none"/>
                <w:lang w:val="en-US" w:eastAsia="ja-JP" w:bidi="ar-SA"/>
              </w:rPr>
              <w:t>xx-x</w:t>
            </w:r>
          </w:p>
        </w:tc>
        <w:tc>
          <w:tcPr>
            <w:tcW w:w="959"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eastAsia="宋体" w:cs="Times New Roman"/>
                <w:color w:val="000000" w:themeColor="text1"/>
                <w:sz w:val="15"/>
                <w:szCs w:val="15"/>
                <w:highlight w:val="none"/>
                <w:lang w:eastAsia="zh-CN"/>
                <w14:textFill>
                  <w14:solidFill>
                    <w14:schemeClr w14:val="tx1"/>
                  </w14:solidFill>
                </w14:textFill>
              </w:rPr>
              <w:t>Increasing the number of HARQ processes</w:t>
            </w:r>
          </w:p>
        </w:tc>
        <w:tc>
          <w:tcPr>
            <w:tcW w:w="1077" w:type="dxa"/>
            <w:tcBorders>
              <w:top w:val="single" w:color="auto" w:sz="4" w:space="0"/>
              <w:left w:val="single" w:color="auto" w:sz="4" w:space="0"/>
              <w:bottom w:val="single" w:color="auto" w:sz="4" w:space="0"/>
              <w:right w:val="single" w:color="auto" w:sz="4" w:space="0"/>
            </w:tcBorders>
            <w:vAlign w:val="top"/>
          </w:tcPr>
          <w:p>
            <w:pPr>
              <w:spacing w:after="120" w:afterLines="50"/>
              <w:contextualSpacing/>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14:textFill>
                  <w14:solidFill>
                    <w14:schemeClr w14:val="tx1"/>
                  </w14:solidFill>
                </w14:textFill>
              </w:rPr>
              <w:t>The maximal supported HARQ process number is X for UL and Y for DL</w:t>
            </w:r>
          </w:p>
        </w:tc>
        <w:tc>
          <w:tcPr>
            <w:tcW w:w="1077"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eastAsia="宋体" w:cs="Times New Roman"/>
                <w:color w:val="000000" w:themeColor="text1"/>
                <w:sz w:val="15"/>
                <w:szCs w:val="15"/>
                <w:highlight w:val="none"/>
                <w:lang w:eastAsia="zh-CN"/>
                <w14:textFill>
                  <w14:solidFill>
                    <w14:schemeClr w14:val="tx1"/>
                  </w14:solidFill>
                </w14:textFill>
              </w:rPr>
              <w:t>Yes</w:t>
            </w:r>
          </w:p>
        </w:tc>
        <w:tc>
          <w:tcPr>
            <w:tcW w:w="1077"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Gulim"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lang w:eastAsia="ja-JP"/>
                <w14:textFill>
                  <w14:solidFill>
                    <w14:schemeClr w14:val="tx1"/>
                  </w14:solidFill>
                </w14:textFill>
              </w:rPr>
              <w:t>No</w:t>
            </w:r>
          </w:p>
        </w:tc>
        <w:tc>
          <w:tcPr>
            <w:tcW w:w="1077"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宋体" w:cs="Times New Roman"/>
                <w:b/>
                <w:color w:val="000000"/>
                <w:sz w:val="15"/>
                <w:szCs w:val="15"/>
                <w:highlight w:val="none"/>
                <w:lang w:val="en-GB" w:eastAsia="ja-JP" w:bidi="ar-SA"/>
              </w:rPr>
            </w:pPr>
            <w:r>
              <w:rPr>
                <w:rFonts w:hint="default" w:ascii="Times New Roman" w:hAnsi="Times New Roman" w:eastAsia="宋体" w:cs="Times New Roman"/>
                <w:color w:val="000000" w:themeColor="text1"/>
                <w:sz w:val="15"/>
                <w:szCs w:val="15"/>
                <w:highlight w:val="none"/>
                <w:lang w:eastAsia="zh-CN"/>
                <w14:textFill>
                  <w14:solidFill>
                    <w14:schemeClr w14:val="tx1"/>
                  </w14:solidFill>
                </w14:textFill>
              </w:rPr>
              <w:t>Increased number of HARQ processes is not supported for NR communication via satellite</w:t>
            </w:r>
          </w:p>
        </w:tc>
        <w:tc>
          <w:tcPr>
            <w:tcW w:w="1077"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宋体"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14:textFill>
                  <w14:solidFill>
                    <w14:schemeClr w14:val="tx1"/>
                  </w14:solidFill>
                </w14:textFill>
              </w:rPr>
              <w:t>Per band</w:t>
            </w:r>
          </w:p>
        </w:tc>
        <w:tc>
          <w:tcPr>
            <w:tcW w:w="1757"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cs="Times New Roman"/>
                <w:color w:val="000000" w:themeColor="text1"/>
                <w:sz w:val="15"/>
                <w:szCs w:val="15"/>
                <w:highlight w:val="none"/>
                <w14:textFill>
                  <w14:solidFill>
                    <w14:schemeClr w14:val="tx1"/>
                  </w14:solidFill>
                </w14:textFill>
              </w:rPr>
            </w:pPr>
            <w:r>
              <w:rPr>
                <w:rFonts w:hint="default" w:ascii="Times New Roman" w:hAnsi="Times New Roman" w:cs="Times New Roman"/>
                <w:color w:val="000000" w:themeColor="text1"/>
                <w:sz w:val="15"/>
                <w:szCs w:val="15"/>
                <w:highlight w:val="none"/>
                <w14:textFill>
                  <w14:solidFill>
                    <w14:schemeClr w14:val="tx1"/>
                  </w14:solidFill>
                </w14:textFill>
              </w:rPr>
              <w:t>Candidate component values for (X,Y): {(16,32),(32,16),(32,32)}</w:t>
            </w:r>
          </w:p>
          <w:p>
            <w:pPr>
              <w:pStyle w:val="118"/>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14:textFill>
                  <w14:solidFill>
                    <w14:schemeClr w14:val="tx1"/>
                  </w14:solidFill>
                </w14:textFill>
              </w:rPr>
              <w:t>Note: This UE feature group is applicable only for bands in Table 5-1 in TR 38.876</w:t>
            </w:r>
          </w:p>
        </w:tc>
        <w:tc>
          <w:tcPr>
            <w:tcW w:w="1595"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9"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Times New Roman" w:cs="Times New Roman"/>
                <w:b w:val="0"/>
                <w:bCs/>
                <w:color w:val="000000"/>
                <w:sz w:val="15"/>
                <w:szCs w:val="15"/>
                <w:highlight w:val="none"/>
                <w:lang w:val="en-US" w:eastAsia="ja-JP" w:bidi="ar-SA"/>
              </w:rPr>
            </w:pPr>
            <w:r>
              <w:rPr>
                <w:rFonts w:hint="default" w:ascii="Times New Roman" w:hAnsi="Times New Roman" w:eastAsia="Times New Roman" w:cs="Times New Roman"/>
                <w:b w:val="0"/>
                <w:bCs/>
                <w:color w:val="000000"/>
                <w:sz w:val="15"/>
                <w:szCs w:val="15"/>
                <w:highlight w:val="none"/>
                <w:lang w:val="en-US" w:eastAsia="ja-JP" w:bidi="ar-SA"/>
              </w:rPr>
              <w:t>xx-x</w:t>
            </w:r>
          </w:p>
        </w:tc>
        <w:tc>
          <w:tcPr>
            <w:tcW w:w="959"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lang w:eastAsia="zh-CN"/>
                <w14:textFill>
                  <w14:solidFill>
                    <w14:schemeClr w14:val="tx1"/>
                  </w14:solidFill>
                </w14:textFill>
              </w:rPr>
              <w:t>K1 range extension</w:t>
            </w:r>
          </w:p>
        </w:tc>
        <w:tc>
          <w:tcPr>
            <w:tcW w:w="1077" w:type="dxa"/>
            <w:tcBorders>
              <w:top w:val="single" w:color="auto" w:sz="4" w:space="0"/>
              <w:left w:val="single" w:color="auto" w:sz="4" w:space="0"/>
              <w:bottom w:val="single" w:color="auto" w:sz="4" w:space="0"/>
              <w:right w:val="single" w:color="auto" w:sz="4" w:space="0"/>
            </w:tcBorders>
            <w:vAlign w:val="top"/>
          </w:tcPr>
          <w:p>
            <w:pPr>
              <w:pStyle w:val="112"/>
              <w:numPr>
                <w:ilvl w:val="0"/>
                <w:numId w:val="0"/>
              </w:numPr>
              <w:spacing w:after="120" w:afterLines="50"/>
              <w:contextualSpacing/>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eastAsia="Times New Roman" w:cs="Times New Roman"/>
                <w:b w:val="0"/>
                <w:bCs/>
                <w:color w:val="000000"/>
                <w:sz w:val="15"/>
                <w:szCs w:val="15"/>
                <w:highlight w:val="none"/>
                <w:lang w:val="en-GB" w:eastAsia="ja-JP" w:bidi="ar-SA"/>
              </w:rPr>
              <w:t>Support of extended K1 value range of (0..31) for unpaired spectrum</w:t>
            </w:r>
          </w:p>
        </w:tc>
        <w:tc>
          <w:tcPr>
            <w:tcW w:w="1077"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lang w:eastAsia="zh-CN"/>
                <w14:textFill>
                  <w14:solidFill>
                    <w14:schemeClr w14:val="tx1"/>
                  </w14:solidFill>
                </w14:textFill>
              </w:rPr>
              <w:t>Yes</w:t>
            </w:r>
          </w:p>
        </w:tc>
        <w:tc>
          <w:tcPr>
            <w:tcW w:w="1077"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Gulim"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lang w:eastAsia="zh-CN"/>
                <w14:textFill>
                  <w14:solidFill>
                    <w14:schemeClr w14:val="tx1"/>
                  </w14:solidFill>
                </w14:textFill>
              </w:rPr>
              <w:t>No</w:t>
            </w:r>
          </w:p>
        </w:tc>
        <w:tc>
          <w:tcPr>
            <w:tcW w:w="1077"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宋体"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lang w:eastAsia="zh-CN"/>
                <w14:textFill>
                  <w14:solidFill>
                    <w14:schemeClr w14:val="tx1"/>
                  </w14:solidFill>
                </w14:textFill>
              </w:rPr>
              <w:t xml:space="preserve">K1 range extension is not supported </w:t>
            </w:r>
          </w:p>
        </w:tc>
        <w:tc>
          <w:tcPr>
            <w:tcW w:w="1077"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宋体"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lang w:eastAsia="zh-CN"/>
                <w14:textFill>
                  <w14:solidFill>
                    <w14:schemeClr w14:val="tx1"/>
                  </w14:solidFill>
                </w14:textFill>
              </w:rPr>
              <w:t>Per band</w:t>
            </w:r>
          </w:p>
        </w:tc>
        <w:tc>
          <w:tcPr>
            <w:tcW w:w="1757"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14:textFill>
                  <w14:solidFill>
                    <w14:schemeClr w14:val="tx1"/>
                  </w14:solidFill>
                </w14:textFill>
              </w:rPr>
              <w:t>Note: This UE feature group is applicable only for bands in Table 5-1 in TR 38.876</w:t>
            </w:r>
          </w:p>
        </w:tc>
        <w:tc>
          <w:tcPr>
            <w:tcW w:w="1595" w:type="dxa"/>
            <w:tcBorders>
              <w:top w:val="single" w:color="auto" w:sz="4" w:space="0"/>
              <w:left w:val="single" w:color="auto" w:sz="4" w:space="0"/>
              <w:bottom w:val="single" w:color="auto" w:sz="4" w:space="0"/>
              <w:right w:val="single" w:color="auto" w:sz="4" w:space="0"/>
            </w:tcBorders>
            <w:vAlign w:val="top"/>
          </w:tcPr>
          <w:p>
            <w:pPr>
              <w:pStyle w:val="150"/>
              <w:ind w:firstLine="0" w:firstLineChars="0"/>
              <w:jc w:val="left"/>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14:textFill>
                  <w14:solidFill>
                    <w14:schemeClr w14:val="tx1"/>
                  </w14:solidFill>
                </w14:textFill>
              </w:rPr>
              <w:t xml:space="preserve">Optional with capability signalling </w:t>
            </w:r>
          </w:p>
        </w:tc>
      </w:tr>
    </w:tbl>
    <w:p>
      <w:pPr>
        <w:spacing w:before="120" w:beforeLines="50" w:after="120" w:afterLines="50"/>
        <w:rPr>
          <w:rFonts w:hint="default" w:ascii="Times New Roman" w:hAnsi="Times New Roman" w:cs="Times New Roman"/>
          <w:bCs/>
          <w:iCs/>
          <w:sz w:val="20"/>
          <w:szCs w:val="20"/>
          <w:lang w:val="en-US"/>
        </w:rPr>
      </w:pPr>
      <w:bookmarkStart w:id="19" w:name="_GoBack"/>
      <w:bookmarkEnd w:id="19"/>
    </w:p>
    <w:p>
      <w:pPr>
        <w:spacing w:before="120" w:beforeLines="50" w:after="120" w:afterLines="50"/>
        <w:rPr>
          <w:rFonts w:hint="default" w:ascii="Times New Roman" w:hAnsi="Times New Roman" w:cs="Times New Roman"/>
          <w:bCs/>
          <w:iCs/>
          <w:sz w:val="20"/>
          <w:szCs w:val="20"/>
          <w:lang w:val="en-US"/>
        </w:rPr>
      </w:pPr>
    </w:p>
    <w:bookmarkEnd w:id="4"/>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after="120"/>
        <w:ind w:left="363" w:hanging="363"/>
        <w:rPr>
          <w:rFonts w:ascii="Times New Roman" w:hAnsi="Times New Roman"/>
          <w:sz w:val="28"/>
          <w:szCs w:val="28"/>
        </w:rPr>
      </w:pPr>
      <w:r>
        <w:rPr>
          <w:rFonts w:ascii="Times New Roman" w:hAnsi="Times New Roman"/>
          <w:sz w:val="28"/>
          <w:szCs w:val="28"/>
        </w:rPr>
        <w:t>Conclusions</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Pr>
          <w:rFonts w:ascii="Times New Roman" w:hAnsi="Times New Roman" w:cs="Times New Roman"/>
          <w:sz w:val="20"/>
          <w:szCs w:val="20"/>
        </w:rPr>
        <w:t xml:space="preserve">mainly </w:t>
      </w:r>
      <w:r>
        <w:rPr>
          <w:rFonts w:ascii="Times New Roman" w:hAnsi="Times New Roman" w:cs="Times New Roman"/>
          <w:sz w:val="20"/>
          <w:szCs w:val="20"/>
          <w:lang w:val="en-GB"/>
        </w:rPr>
        <w:t xml:space="preserve">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 xml:space="preserve">on </w:t>
      </w:r>
      <w:r>
        <w:rPr>
          <w:rFonts w:hint="default" w:ascii="Times New Roman" w:hAnsi="Times New Roman" w:cs="Times New Roman"/>
          <w:bCs/>
          <w:iCs/>
          <w:sz w:val="20"/>
          <w:szCs w:val="20"/>
          <w:lang w:val="en-US"/>
        </w:rPr>
        <w:t>the feature groups introduced for Rel-18 NR NTN enhancement and NR ATG deployment.</w:t>
      </w:r>
      <w:r>
        <w:rPr>
          <w:rFonts w:ascii="Times New Roman" w:hAnsi="Times New Roman" w:cs="Times New Roman"/>
          <w:sz w:val="20"/>
          <w:szCs w:val="20"/>
          <w:lang w:val="en-GB"/>
        </w:rPr>
        <w:t xml:space="preserve"> The proposals are summarized as follows:</w:t>
      </w:r>
    </w:p>
    <w:p>
      <w:pPr>
        <w:spacing w:before="120" w:beforeLines="50" w:after="120" w:afterLines="50"/>
        <w:rPr>
          <w:rFonts w:hint="default" w:ascii="Times New Roman" w:hAnsi="Times New Roman" w:cs="Times New Roman"/>
          <w:b/>
          <w:iCs/>
          <w:sz w:val="20"/>
          <w:szCs w:val="20"/>
          <w:lang w:val="en-US"/>
        </w:rPr>
      </w:pPr>
      <w:r>
        <w:rPr>
          <w:rFonts w:ascii="Times New Roman" w:hAnsi="Times New Roman" w:cs="Times New Roman"/>
          <w:b/>
          <w:iCs/>
          <w:sz w:val="20"/>
          <w:szCs w:val="20"/>
        </w:rPr>
        <w:t xml:space="preserve">Proposal </w:t>
      </w:r>
      <w:r>
        <w:rPr>
          <w:rFonts w:hint="default" w:ascii="Times New Roman" w:hAnsi="Times New Roman" w:cs="Times New Roman"/>
          <w:b/>
          <w:iCs/>
          <w:sz w:val="20"/>
          <w:szCs w:val="20"/>
          <w:lang w:val="en-US"/>
        </w:rPr>
        <w:t>1</w:t>
      </w:r>
      <w:r>
        <w:rPr>
          <w:rFonts w:ascii="Times New Roman" w:hAnsi="Times New Roman" w:cs="Times New Roman"/>
          <w:b/>
          <w:iCs/>
          <w:sz w:val="20"/>
          <w:szCs w:val="20"/>
        </w:rPr>
        <w:t>.</w:t>
      </w:r>
      <w:r>
        <w:rPr>
          <w:rFonts w:hint="default" w:ascii="Times New Roman" w:hAnsi="Times New Roman" w:cs="Times New Roman"/>
          <w:b/>
          <w:iCs/>
          <w:sz w:val="20"/>
          <w:szCs w:val="20"/>
          <w:lang w:val="en-US"/>
        </w:rPr>
        <w:t xml:space="preserve"> The</w:t>
      </w:r>
      <w:r>
        <w:rPr>
          <w:rFonts w:ascii="Times New Roman" w:hAnsi="Times New Roman" w:cs="Times New Roman"/>
          <w:b/>
          <w:iCs/>
          <w:sz w:val="20"/>
          <w:szCs w:val="20"/>
        </w:rPr>
        <w:t xml:space="preserve"> </w:t>
      </w:r>
      <w:r>
        <w:rPr>
          <w:rFonts w:hint="default" w:ascii="Times New Roman" w:hAnsi="Times New Roman" w:cs="Times New Roman"/>
          <w:b/>
          <w:iCs/>
          <w:sz w:val="20"/>
          <w:szCs w:val="20"/>
          <w:lang w:val="en-US"/>
        </w:rPr>
        <w:t xml:space="preserve">support of PUCCH repetition for Msg4 HARQ-ACK can be introduced as a new UE feature group for NR NTN enhancement. </w:t>
      </w:r>
    </w:p>
    <w:p>
      <w:pPr>
        <w:spacing w:before="120" w:beforeLines="50" w:after="120" w:afterLines="50"/>
        <w:rPr>
          <w:rFonts w:hint="default" w:ascii="Times New Roman" w:hAnsi="Times New Roman" w:cs="Times New Roman"/>
          <w:b/>
          <w:iCs/>
          <w:sz w:val="20"/>
          <w:szCs w:val="20"/>
          <w:lang w:val="en-US"/>
        </w:rPr>
      </w:pPr>
      <w:r>
        <w:rPr>
          <w:rFonts w:hint="default" w:ascii="Times New Roman" w:hAnsi="Times New Roman" w:cs="Times New Roman"/>
          <w:b/>
          <w:iCs/>
          <w:sz w:val="20"/>
          <w:szCs w:val="20"/>
          <w:lang w:val="en-US"/>
        </w:rPr>
        <w:t>Proposal 2. The maximum duration for DMRS bundling reported by UE in NTN can be introduced as a new UE feature group for NR NTN enhancement.</w:t>
      </w:r>
    </w:p>
    <w:p>
      <w:pPr>
        <w:numPr>
          <w:ilvl w:val="0"/>
          <w:numId w:val="12"/>
        </w:numPr>
        <w:snapToGrid w:val="0"/>
        <w:ind w:left="720"/>
        <w:rPr>
          <w:rFonts w:ascii="Times New Roman" w:hAnsi="Times New Roman" w:cs="Times New Roman"/>
          <w:bCs/>
          <w:iCs/>
          <w:sz w:val="20"/>
          <w:szCs w:val="20"/>
        </w:rPr>
      </w:pPr>
      <w:r>
        <w:rPr>
          <w:rFonts w:hint="default" w:ascii="Times New Roman" w:hAnsi="Times New Roman" w:cs="Times New Roman"/>
          <w:b/>
          <w:iCs/>
          <w:sz w:val="20"/>
          <w:szCs w:val="20"/>
          <w:lang w:val="en-US"/>
        </w:rPr>
        <w:t>The maximum duration during which UE is able to maintain power consistency and phase continuity to support DMRS bundling for PUSCH in NTN</w:t>
      </w:r>
      <w:r>
        <w:rPr>
          <w:rFonts w:hint="default" w:ascii="Times New Roman" w:hAnsi="Times New Roman" w:cs="Times New Roman"/>
          <w:bCs/>
          <w:iCs/>
          <w:sz w:val="20"/>
          <w:szCs w:val="20"/>
          <w:lang w:val="en-US"/>
        </w:rPr>
        <w:t xml:space="preserve"> </w:t>
      </w:r>
    </w:p>
    <w:p>
      <w:pPr>
        <w:spacing w:before="120" w:beforeLines="50" w:after="120" w:afterLines="50"/>
        <w:rPr>
          <w:rFonts w:ascii="Times New Roman" w:hAnsi="Times New Roman" w:cs="Times New Roman"/>
          <w:b/>
          <w:iCs/>
          <w:sz w:val="20"/>
          <w:szCs w:val="20"/>
          <w:lang w:val="en-US" w:eastAsia="zh-CN"/>
        </w:rPr>
      </w:pPr>
      <w:r>
        <w:rPr>
          <w:rFonts w:ascii="Times New Roman" w:hAnsi="Times New Roman" w:cs="Times New Roman"/>
          <w:b/>
          <w:iCs/>
          <w:sz w:val="20"/>
          <w:szCs w:val="20"/>
          <w:lang w:val="en-US" w:eastAsia="zh-CN"/>
        </w:rPr>
        <w:t xml:space="preserve">Proposal </w:t>
      </w:r>
      <w:r>
        <w:rPr>
          <w:rFonts w:hint="default" w:ascii="Times New Roman" w:hAnsi="Times New Roman" w:cs="Times New Roman"/>
          <w:b/>
          <w:iCs/>
          <w:sz w:val="20"/>
          <w:szCs w:val="20"/>
          <w:lang w:val="en-US" w:eastAsia="zh-CN"/>
        </w:rPr>
        <w:t>3.</w:t>
      </w:r>
      <w:r>
        <w:rPr>
          <w:rFonts w:ascii="Times New Roman" w:hAnsi="Times New Roman" w:cs="Times New Roman"/>
          <w:b/>
          <w:iCs/>
          <w:sz w:val="20"/>
          <w:szCs w:val="20"/>
          <w:lang w:val="en-US" w:eastAsia="zh-CN"/>
        </w:rPr>
        <w:t xml:space="preserve"> Enhancement on the </w:t>
      </w:r>
      <w:r>
        <w:rPr>
          <w:rFonts w:hint="default" w:ascii="Times New Roman" w:hAnsi="Times New Roman" w:cs="Times New Roman"/>
          <w:b/>
          <w:iCs/>
          <w:sz w:val="20"/>
          <w:szCs w:val="20"/>
          <w:lang w:val="en-US" w:eastAsia="zh-CN"/>
        </w:rPr>
        <w:t>HARQ process number</w:t>
      </w:r>
      <w:r>
        <w:rPr>
          <w:rFonts w:ascii="Times New Roman" w:hAnsi="Times New Roman" w:cs="Times New Roman"/>
          <w:b/>
          <w:iCs/>
          <w:sz w:val="20"/>
          <w:szCs w:val="20"/>
          <w:lang w:val="en-US" w:eastAsia="zh-CN"/>
        </w:rPr>
        <w:t xml:space="preserve"> is </w:t>
      </w:r>
      <w:r>
        <w:rPr>
          <w:rFonts w:hint="default" w:ascii="Times New Roman" w:hAnsi="Times New Roman" w:cs="Times New Roman"/>
          <w:b/>
          <w:iCs/>
          <w:sz w:val="20"/>
          <w:szCs w:val="20"/>
          <w:lang w:val="en-US" w:eastAsia="zh-CN"/>
        </w:rPr>
        <w:t>introduced</w:t>
      </w:r>
      <w:r>
        <w:rPr>
          <w:rFonts w:ascii="Times New Roman" w:hAnsi="Times New Roman" w:cs="Times New Roman"/>
          <w:b/>
          <w:iCs/>
          <w:sz w:val="20"/>
          <w:szCs w:val="20"/>
          <w:lang w:val="en-US" w:eastAsia="zh-CN"/>
        </w:rPr>
        <w:t xml:space="preserve"> </w:t>
      </w:r>
      <w:r>
        <w:rPr>
          <w:rFonts w:hint="eastAsia" w:ascii="Times New Roman" w:hAnsi="Times New Roman" w:cs="Times New Roman"/>
          <w:b/>
          <w:iCs/>
          <w:sz w:val="20"/>
          <w:szCs w:val="20"/>
          <w:lang w:val="en-US" w:eastAsia="zh-CN"/>
        </w:rPr>
        <w:t>as</w:t>
      </w:r>
      <w:r>
        <w:rPr>
          <w:rFonts w:ascii="Times New Roman" w:hAnsi="Times New Roman" w:cs="Times New Roman"/>
          <w:b/>
          <w:iCs/>
          <w:sz w:val="20"/>
          <w:szCs w:val="20"/>
          <w:lang w:val="en-US" w:eastAsia="zh-CN"/>
        </w:rPr>
        <w:t xml:space="preserve"> a </w:t>
      </w:r>
      <w:r>
        <w:rPr>
          <w:rFonts w:hint="default" w:ascii="Times New Roman" w:hAnsi="Times New Roman" w:cs="Times New Roman"/>
          <w:b/>
          <w:iCs/>
          <w:sz w:val="20"/>
          <w:szCs w:val="20"/>
          <w:lang w:val="en-US" w:eastAsia="zh-CN"/>
        </w:rPr>
        <w:t xml:space="preserve">new </w:t>
      </w:r>
      <w:r>
        <w:rPr>
          <w:rFonts w:ascii="Times New Roman" w:hAnsi="Times New Roman" w:cs="Times New Roman"/>
          <w:b/>
          <w:iCs/>
          <w:sz w:val="20"/>
          <w:szCs w:val="20"/>
          <w:lang w:val="en-US" w:eastAsia="zh-CN"/>
        </w:rPr>
        <w:t xml:space="preserve">UE feature </w:t>
      </w:r>
      <w:r>
        <w:rPr>
          <w:rFonts w:hint="default" w:ascii="Times New Roman" w:hAnsi="Times New Roman" w:cs="Times New Roman"/>
          <w:b/>
          <w:iCs/>
          <w:sz w:val="20"/>
          <w:szCs w:val="20"/>
          <w:lang w:val="en-US" w:eastAsia="zh-CN"/>
        </w:rPr>
        <w:t xml:space="preserve">group for ATG scenarios, and add the note “This UE feature group is applicable only for bands in </w:t>
      </w:r>
      <w:r>
        <w:rPr>
          <w:rFonts w:hint="default" w:ascii="Times New Roman" w:hAnsi="Times New Roman" w:cs="Times New Roman"/>
          <w:b/>
          <w:iCs/>
          <w:sz w:val="20"/>
          <w:szCs w:val="20"/>
          <w:highlight w:val="none"/>
          <w:lang w:val="en-US" w:eastAsia="zh-CN"/>
        </w:rPr>
        <w:t>Table 5-1 in TR 38.876</w:t>
      </w:r>
      <w:r>
        <w:rPr>
          <w:rFonts w:hint="default" w:ascii="Times New Roman" w:hAnsi="Times New Roman" w:cs="Times New Roman"/>
          <w:b/>
          <w:iCs/>
          <w:sz w:val="20"/>
          <w:szCs w:val="20"/>
          <w:lang w:val="en-US" w:eastAsia="zh-CN"/>
        </w:rPr>
        <w:t>”</w:t>
      </w:r>
      <w:r>
        <w:rPr>
          <w:rFonts w:ascii="Times New Roman" w:hAnsi="Times New Roman" w:cs="Times New Roman"/>
          <w:b/>
          <w:iCs/>
          <w:sz w:val="20"/>
          <w:szCs w:val="20"/>
          <w:lang w:val="en-US" w:eastAsia="zh-CN"/>
        </w:rPr>
        <w:t>.</w:t>
      </w:r>
    </w:p>
    <w:p>
      <w:pPr>
        <w:spacing w:before="120" w:beforeLines="50" w:after="120" w:afterLines="50"/>
        <w:rPr>
          <w:rFonts w:ascii="Times New Roman" w:hAnsi="Times New Roman" w:cs="Times New Roman"/>
          <w:b/>
          <w:iCs/>
          <w:sz w:val="20"/>
          <w:szCs w:val="20"/>
          <w:highlight w:val="none"/>
          <w:lang w:val="en-US" w:eastAsia="zh-CN"/>
        </w:rPr>
      </w:pPr>
      <w:r>
        <w:rPr>
          <w:rFonts w:ascii="Times New Roman" w:hAnsi="Times New Roman" w:cs="Times New Roman"/>
          <w:b/>
          <w:iCs/>
          <w:sz w:val="20"/>
          <w:szCs w:val="20"/>
          <w:lang w:val="en-US" w:eastAsia="zh-CN"/>
        </w:rPr>
        <w:t xml:space="preserve">Proposal </w:t>
      </w:r>
      <w:r>
        <w:rPr>
          <w:rFonts w:hint="default" w:ascii="Times New Roman" w:hAnsi="Times New Roman" w:cs="Times New Roman"/>
          <w:b/>
          <w:iCs/>
          <w:sz w:val="20"/>
          <w:szCs w:val="20"/>
          <w:lang w:val="en-US" w:eastAsia="zh-CN"/>
        </w:rPr>
        <w:t>4.</w:t>
      </w:r>
      <w:r>
        <w:rPr>
          <w:rFonts w:ascii="Times New Roman" w:hAnsi="Times New Roman" w:cs="Times New Roman"/>
          <w:b/>
          <w:iCs/>
          <w:sz w:val="20"/>
          <w:szCs w:val="20"/>
          <w:lang w:val="en-US" w:eastAsia="zh-CN"/>
        </w:rPr>
        <w:t xml:space="preserve"> Enhancement on the </w:t>
      </w:r>
      <w:r>
        <w:rPr>
          <w:rFonts w:hint="default" w:ascii="Times New Roman" w:hAnsi="Times New Roman" w:cs="Times New Roman"/>
          <w:b/>
          <w:iCs/>
          <w:sz w:val="20"/>
          <w:szCs w:val="20"/>
          <w:lang w:val="en-US" w:eastAsia="zh-CN"/>
        </w:rPr>
        <w:t>K1 range extension</w:t>
      </w:r>
      <w:r>
        <w:rPr>
          <w:rFonts w:ascii="Times New Roman" w:hAnsi="Times New Roman" w:cs="Times New Roman"/>
          <w:b/>
          <w:iCs/>
          <w:sz w:val="20"/>
          <w:szCs w:val="20"/>
          <w:lang w:val="en-US" w:eastAsia="zh-CN"/>
        </w:rPr>
        <w:t xml:space="preserve"> is </w:t>
      </w:r>
      <w:r>
        <w:rPr>
          <w:rFonts w:hint="default" w:ascii="Times New Roman" w:hAnsi="Times New Roman" w:cs="Times New Roman"/>
          <w:b/>
          <w:iCs/>
          <w:sz w:val="20"/>
          <w:szCs w:val="20"/>
          <w:lang w:val="en-US" w:eastAsia="zh-CN"/>
        </w:rPr>
        <w:t>introduced</w:t>
      </w:r>
      <w:r>
        <w:rPr>
          <w:rFonts w:ascii="Times New Roman" w:hAnsi="Times New Roman" w:cs="Times New Roman"/>
          <w:b/>
          <w:iCs/>
          <w:sz w:val="20"/>
          <w:szCs w:val="20"/>
          <w:lang w:val="en-US" w:eastAsia="zh-CN"/>
        </w:rPr>
        <w:t xml:space="preserve"> </w:t>
      </w:r>
      <w:r>
        <w:rPr>
          <w:rFonts w:hint="eastAsia" w:ascii="Times New Roman" w:hAnsi="Times New Roman" w:cs="Times New Roman"/>
          <w:b/>
          <w:iCs/>
          <w:sz w:val="20"/>
          <w:szCs w:val="20"/>
          <w:lang w:val="en-US" w:eastAsia="zh-CN"/>
        </w:rPr>
        <w:t>as</w:t>
      </w:r>
      <w:r>
        <w:rPr>
          <w:rFonts w:ascii="Times New Roman" w:hAnsi="Times New Roman" w:cs="Times New Roman"/>
          <w:b/>
          <w:iCs/>
          <w:sz w:val="20"/>
          <w:szCs w:val="20"/>
          <w:lang w:val="en-US" w:eastAsia="zh-CN"/>
        </w:rPr>
        <w:t xml:space="preserve"> a </w:t>
      </w:r>
      <w:r>
        <w:rPr>
          <w:rFonts w:hint="default" w:ascii="Times New Roman" w:hAnsi="Times New Roman" w:cs="Times New Roman"/>
          <w:b/>
          <w:iCs/>
          <w:sz w:val="20"/>
          <w:szCs w:val="20"/>
          <w:lang w:val="en-US" w:eastAsia="zh-CN"/>
        </w:rPr>
        <w:t xml:space="preserve">new </w:t>
      </w:r>
      <w:r>
        <w:rPr>
          <w:rFonts w:ascii="Times New Roman" w:hAnsi="Times New Roman" w:cs="Times New Roman"/>
          <w:b/>
          <w:iCs/>
          <w:sz w:val="20"/>
          <w:szCs w:val="20"/>
          <w:lang w:val="en-US" w:eastAsia="zh-CN"/>
        </w:rPr>
        <w:t xml:space="preserve">UE feature </w:t>
      </w:r>
      <w:r>
        <w:rPr>
          <w:rFonts w:hint="default" w:ascii="Times New Roman" w:hAnsi="Times New Roman" w:cs="Times New Roman"/>
          <w:b/>
          <w:iCs/>
          <w:sz w:val="20"/>
          <w:szCs w:val="20"/>
          <w:lang w:val="en-US" w:eastAsia="zh-CN"/>
        </w:rPr>
        <w:t xml:space="preserve">group for ATG scenarios, and add the note “This UE feature group is applicable only for bands in </w:t>
      </w:r>
      <w:r>
        <w:rPr>
          <w:rFonts w:hint="default" w:ascii="Times New Roman" w:hAnsi="Times New Roman" w:cs="Times New Roman"/>
          <w:b/>
          <w:iCs/>
          <w:sz w:val="20"/>
          <w:szCs w:val="20"/>
          <w:highlight w:val="none"/>
          <w:lang w:val="en-US" w:eastAsia="zh-CN"/>
        </w:rPr>
        <w:t>Table 5-1 in TR 38.876”</w:t>
      </w:r>
      <w:r>
        <w:rPr>
          <w:rFonts w:ascii="Times New Roman" w:hAnsi="Times New Roman" w:cs="Times New Roman"/>
          <w:b/>
          <w:iCs/>
          <w:sz w:val="20"/>
          <w:szCs w:val="20"/>
          <w:highlight w:val="none"/>
          <w:lang w:val="en-US" w:eastAsia="zh-CN"/>
        </w:rPr>
        <w:t>.</w:t>
      </w:r>
    </w:p>
    <w:tbl>
      <w:tblPr>
        <w:tblStyle w:val="43"/>
        <w:tblpPr w:leftFromText="180" w:rightFromText="180" w:vertAnchor="text" w:horzAnchor="page" w:tblpX="1133" w:tblpY="-16"/>
        <w:tblOverlap w:val="never"/>
        <w:tblW w:w="10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959"/>
        <w:gridCol w:w="1077"/>
        <w:gridCol w:w="1077"/>
        <w:gridCol w:w="1077"/>
        <w:gridCol w:w="1077"/>
        <w:gridCol w:w="1077"/>
        <w:gridCol w:w="1757"/>
        <w:gridCol w:w="1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eastAsia="Times New Roman" w:cs="Times New Roman"/>
                <w:b/>
                <w:color w:val="000000"/>
                <w:sz w:val="15"/>
                <w:szCs w:val="15"/>
                <w:highlight w:val="none"/>
                <w:lang w:val="en-GB" w:eastAsia="ja-JP" w:bidi="ar-SA"/>
              </w:rPr>
              <w:t>Index</w:t>
            </w:r>
          </w:p>
        </w:tc>
        <w:tc>
          <w:tcPr>
            <w:tcW w:w="9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eastAsia="Times New Roman" w:cs="Times New Roman"/>
                <w:b/>
                <w:color w:val="000000"/>
                <w:sz w:val="15"/>
                <w:szCs w:val="15"/>
                <w:highlight w:val="none"/>
                <w:lang w:val="en-GB" w:eastAsia="ja-JP" w:bidi="ar-SA"/>
              </w:rPr>
              <w:t>Feature group</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eastAsia="Times New Roman" w:cs="Times New Roman"/>
                <w:b/>
                <w:color w:val="000000"/>
                <w:sz w:val="15"/>
                <w:szCs w:val="15"/>
                <w:highlight w:val="none"/>
                <w:lang w:val="en-GB" w:eastAsia="ja-JP" w:bidi="ar-SA"/>
              </w:rPr>
              <w:t>Components</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eastAsia="Times New Roman" w:cs="Times New Roman"/>
                <w:b/>
                <w:color w:val="000000"/>
                <w:sz w:val="15"/>
                <w:szCs w:val="15"/>
                <w:highlight w:val="none"/>
                <w:lang w:val="en-GB" w:eastAsia="ja-JP" w:bidi="ar-SA"/>
              </w:rPr>
              <w:t>Need for the gNB to know if the feature is supported</w:t>
            </w:r>
          </w:p>
        </w:tc>
        <w:tc>
          <w:tcPr>
            <w:tcW w:w="107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eastAsia="Gulim" w:cs="Times New Roman"/>
                <w:b/>
                <w:color w:val="000000"/>
                <w:sz w:val="15"/>
                <w:szCs w:val="15"/>
                <w:highlight w:val="none"/>
                <w:lang w:val="en-GB" w:eastAsia="ja-JP" w:bidi="ar-SA"/>
              </w:rPr>
              <w:t xml:space="preserve">Applicable to </w:t>
            </w:r>
            <w:r>
              <w:rPr>
                <w:rFonts w:hint="default" w:ascii="Times New Roman" w:hAnsi="Times New Roman" w:eastAsia="Times New Roman" w:cs="Times New Roman"/>
                <w:b/>
                <w:color w:val="000000"/>
                <w:sz w:val="15"/>
                <w:szCs w:val="15"/>
                <w:highlight w:val="none"/>
                <w:lang w:val="en-GB" w:eastAsia="ja-JP" w:bidi="ar-SA"/>
              </w:rPr>
              <w:t>the capability signalling exchange between UEs (Sidelink WI only)”.</w:t>
            </w:r>
          </w:p>
        </w:tc>
        <w:tc>
          <w:tcPr>
            <w:tcW w:w="1077" w:type="dxa"/>
            <w:tcBorders>
              <w:top w:val="single" w:color="auto" w:sz="4" w:space="0"/>
              <w:left w:val="single" w:color="auto" w:sz="4" w:space="0"/>
              <w:bottom w:val="single" w:color="auto" w:sz="4" w:space="0"/>
              <w:right w:val="single" w:color="auto" w:sz="4" w:space="0"/>
            </w:tcBorders>
          </w:tcPr>
          <w:p>
            <w:pPr>
              <w:keepNext/>
              <w:keepLines/>
              <w:ind w:left="0" w:firstLine="0"/>
              <w:rPr>
                <w:rFonts w:hint="default" w:ascii="Times New Roman" w:hAnsi="Times New Roman" w:eastAsia="宋体" w:cs="Times New Roman"/>
                <w:b/>
                <w:color w:val="000000"/>
                <w:sz w:val="15"/>
                <w:szCs w:val="15"/>
                <w:highlight w:val="none"/>
                <w:lang w:val="en-GB" w:eastAsia="ja-JP" w:bidi="ar-SA"/>
              </w:rPr>
            </w:pPr>
            <w:r>
              <w:rPr>
                <w:rFonts w:hint="default" w:ascii="Times New Roman" w:hAnsi="Times New Roman" w:eastAsia="宋体" w:cs="Times New Roman"/>
                <w:b/>
                <w:color w:val="000000"/>
                <w:sz w:val="15"/>
                <w:szCs w:val="15"/>
                <w:highlight w:val="none"/>
                <w:lang w:val="en-GB" w:eastAsia="ja-JP" w:bidi="ar-SA"/>
              </w:rPr>
              <w:t>Consequence if the feature is not supported by the UE</w:t>
            </w:r>
          </w:p>
        </w:tc>
        <w:tc>
          <w:tcPr>
            <w:tcW w:w="1077" w:type="dxa"/>
            <w:tcBorders>
              <w:top w:val="single" w:color="auto" w:sz="4" w:space="0"/>
              <w:left w:val="single" w:color="auto" w:sz="4" w:space="0"/>
              <w:bottom w:val="single" w:color="auto" w:sz="4" w:space="0"/>
              <w:right w:val="single" w:color="auto" w:sz="4" w:space="0"/>
            </w:tcBorders>
          </w:tcPr>
          <w:p>
            <w:pPr>
              <w:keepNext/>
              <w:keepLines/>
              <w:ind w:left="0" w:firstLine="0"/>
              <w:rPr>
                <w:rFonts w:hint="default" w:ascii="Times New Roman" w:hAnsi="Times New Roman" w:eastAsia="宋体" w:cs="Times New Roman"/>
                <w:b/>
                <w:color w:val="000000"/>
                <w:sz w:val="15"/>
                <w:szCs w:val="15"/>
                <w:highlight w:val="none"/>
                <w:lang w:val="en-GB" w:eastAsia="ja-JP" w:bidi="ar-SA"/>
              </w:rPr>
            </w:pPr>
            <w:r>
              <w:rPr>
                <w:rFonts w:hint="default" w:ascii="Times New Roman" w:hAnsi="Times New Roman" w:eastAsia="宋体" w:cs="Times New Roman"/>
                <w:b/>
                <w:color w:val="000000"/>
                <w:sz w:val="15"/>
                <w:szCs w:val="15"/>
                <w:highlight w:val="none"/>
                <w:lang w:val="en-GB" w:eastAsia="ja-JP" w:bidi="ar-SA"/>
              </w:rPr>
              <w:t>Type</w:t>
            </w:r>
          </w:p>
          <w:p>
            <w:pPr>
              <w:keepNext/>
              <w:keepLines/>
              <w:ind w:left="0" w:firstLine="0"/>
              <w:rPr>
                <w:rFonts w:hint="default" w:ascii="Times New Roman" w:hAnsi="Times New Roman" w:eastAsia="宋体" w:cs="Times New Roman"/>
                <w:b/>
                <w:color w:val="000000"/>
                <w:sz w:val="15"/>
                <w:szCs w:val="15"/>
                <w:highlight w:val="none"/>
                <w:lang w:val="en-GB" w:eastAsia="ja-JP" w:bidi="ar-SA"/>
              </w:rPr>
            </w:pPr>
            <w:r>
              <w:rPr>
                <w:rFonts w:hint="default" w:ascii="Times New Roman" w:hAnsi="Times New Roman" w:eastAsia="宋体" w:cs="Times New Roman"/>
                <w:b/>
                <w:color w:val="000000"/>
                <w:sz w:val="15"/>
                <w:szCs w:val="15"/>
                <w:highlight w:val="none"/>
                <w:lang w:val="en-GB" w:eastAsia="ja-JP" w:bidi="ar-SA"/>
              </w:rPr>
              <w:t>(the ‘type’ definition from UE features should be based on the granularity of 1) Per UE or 2) Per Band or 3) Per BC or 4) Per FS or 5) Per FSPC)</w:t>
            </w:r>
          </w:p>
        </w:tc>
        <w:tc>
          <w:tcPr>
            <w:tcW w:w="175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eastAsia="Times New Roman" w:cs="Times New Roman"/>
                <w:b/>
                <w:color w:val="000000"/>
                <w:sz w:val="15"/>
                <w:szCs w:val="15"/>
                <w:highlight w:val="none"/>
                <w:lang w:val="en-GB" w:eastAsia="ja-JP" w:bidi="ar-SA"/>
              </w:rPr>
              <w:t>Note</w:t>
            </w:r>
          </w:p>
        </w:tc>
        <w:tc>
          <w:tcPr>
            <w:tcW w:w="159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eastAsia="Times New Roman" w:cs="Times New Roman"/>
                <w:b/>
                <w:color w:val="000000"/>
                <w:sz w:val="15"/>
                <w:szCs w:val="15"/>
                <w:highlight w:val="none"/>
                <w:lang w:val="en-GB" w:eastAsia="ja-JP" w:bidi="ar-SA"/>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9"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Times New Roman" w:cs="Times New Roman"/>
                <w:b w:val="0"/>
                <w:bCs/>
                <w:color w:val="000000"/>
                <w:sz w:val="15"/>
                <w:szCs w:val="15"/>
                <w:highlight w:val="none"/>
                <w:lang w:val="en-US" w:eastAsia="ja-JP" w:bidi="ar-SA"/>
              </w:rPr>
            </w:pPr>
            <w:r>
              <w:rPr>
                <w:rFonts w:hint="default" w:ascii="Times New Roman" w:hAnsi="Times New Roman" w:eastAsia="Times New Roman" w:cs="Times New Roman"/>
                <w:b w:val="0"/>
                <w:bCs/>
                <w:color w:val="000000"/>
                <w:sz w:val="15"/>
                <w:szCs w:val="15"/>
                <w:highlight w:val="none"/>
                <w:lang w:val="en-US" w:eastAsia="ja-JP" w:bidi="ar-SA"/>
              </w:rPr>
              <w:t>xx-x</w:t>
            </w:r>
          </w:p>
        </w:tc>
        <w:tc>
          <w:tcPr>
            <w:tcW w:w="959"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eastAsia="宋体" w:cs="Times New Roman"/>
                <w:color w:val="000000" w:themeColor="text1"/>
                <w:sz w:val="15"/>
                <w:szCs w:val="15"/>
                <w:highlight w:val="none"/>
                <w:lang w:eastAsia="zh-CN"/>
                <w14:textFill>
                  <w14:solidFill>
                    <w14:schemeClr w14:val="tx1"/>
                  </w14:solidFill>
                </w14:textFill>
              </w:rPr>
              <w:t>Increasing the number of HARQ processes</w:t>
            </w:r>
          </w:p>
        </w:tc>
        <w:tc>
          <w:tcPr>
            <w:tcW w:w="1077" w:type="dxa"/>
            <w:tcBorders>
              <w:top w:val="single" w:color="auto" w:sz="4" w:space="0"/>
              <w:left w:val="single" w:color="auto" w:sz="4" w:space="0"/>
              <w:bottom w:val="single" w:color="auto" w:sz="4" w:space="0"/>
              <w:right w:val="single" w:color="auto" w:sz="4" w:space="0"/>
            </w:tcBorders>
            <w:vAlign w:val="top"/>
          </w:tcPr>
          <w:p>
            <w:pPr>
              <w:spacing w:after="120" w:afterLines="50"/>
              <w:contextualSpacing/>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14:textFill>
                  <w14:solidFill>
                    <w14:schemeClr w14:val="tx1"/>
                  </w14:solidFill>
                </w14:textFill>
              </w:rPr>
              <w:t>The maximal supported HARQ process number is X for UL and Y for DL</w:t>
            </w:r>
          </w:p>
        </w:tc>
        <w:tc>
          <w:tcPr>
            <w:tcW w:w="1077"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eastAsia="宋体" w:cs="Times New Roman"/>
                <w:color w:val="000000" w:themeColor="text1"/>
                <w:sz w:val="15"/>
                <w:szCs w:val="15"/>
                <w:highlight w:val="none"/>
                <w:lang w:eastAsia="zh-CN"/>
                <w14:textFill>
                  <w14:solidFill>
                    <w14:schemeClr w14:val="tx1"/>
                  </w14:solidFill>
                </w14:textFill>
              </w:rPr>
              <w:t>Yes</w:t>
            </w:r>
          </w:p>
        </w:tc>
        <w:tc>
          <w:tcPr>
            <w:tcW w:w="1077"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Gulim"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lang w:eastAsia="ja-JP"/>
                <w14:textFill>
                  <w14:solidFill>
                    <w14:schemeClr w14:val="tx1"/>
                  </w14:solidFill>
                </w14:textFill>
              </w:rPr>
              <w:t>No</w:t>
            </w:r>
          </w:p>
        </w:tc>
        <w:tc>
          <w:tcPr>
            <w:tcW w:w="1077"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宋体" w:cs="Times New Roman"/>
                <w:b/>
                <w:color w:val="000000"/>
                <w:sz w:val="15"/>
                <w:szCs w:val="15"/>
                <w:highlight w:val="none"/>
                <w:lang w:val="en-GB" w:eastAsia="ja-JP" w:bidi="ar-SA"/>
              </w:rPr>
            </w:pPr>
            <w:r>
              <w:rPr>
                <w:rFonts w:hint="default" w:ascii="Times New Roman" w:hAnsi="Times New Roman" w:eastAsia="宋体" w:cs="Times New Roman"/>
                <w:color w:val="000000" w:themeColor="text1"/>
                <w:sz w:val="15"/>
                <w:szCs w:val="15"/>
                <w:highlight w:val="none"/>
                <w:lang w:eastAsia="zh-CN"/>
                <w14:textFill>
                  <w14:solidFill>
                    <w14:schemeClr w14:val="tx1"/>
                  </w14:solidFill>
                </w14:textFill>
              </w:rPr>
              <w:t>Increased number of HARQ processes is not supported for NR communication via satellite</w:t>
            </w:r>
          </w:p>
        </w:tc>
        <w:tc>
          <w:tcPr>
            <w:tcW w:w="1077"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宋体"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14:textFill>
                  <w14:solidFill>
                    <w14:schemeClr w14:val="tx1"/>
                  </w14:solidFill>
                </w14:textFill>
              </w:rPr>
              <w:t>Per band</w:t>
            </w:r>
          </w:p>
        </w:tc>
        <w:tc>
          <w:tcPr>
            <w:tcW w:w="1757"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cs="Times New Roman"/>
                <w:color w:val="000000" w:themeColor="text1"/>
                <w:sz w:val="15"/>
                <w:szCs w:val="15"/>
                <w:highlight w:val="none"/>
                <w14:textFill>
                  <w14:solidFill>
                    <w14:schemeClr w14:val="tx1"/>
                  </w14:solidFill>
                </w14:textFill>
              </w:rPr>
            </w:pPr>
            <w:r>
              <w:rPr>
                <w:rFonts w:hint="default" w:ascii="Times New Roman" w:hAnsi="Times New Roman" w:cs="Times New Roman"/>
                <w:color w:val="000000" w:themeColor="text1"/>
                <w:sz w:val="15"/>
                <w:szCs w:val="15"/>
                <w:highlight w:val="none"/>
                <w14:textFill>
                  <w14:solidFill>
                    <w14:schemeClr w14:val="tx1"/>
                  </w14:solidFill>
                </w14:textFill>
              </w:rPr>
              <w:t>Candidate component values for (X,Y): {(16,32),(32,16),(32,32)}</w:t>
            </w:r>
          </w:p>
          <w:p>
            <w:pPr>
              <w:pStyle w:val="118"/>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14:textFill>
                  <w14:solidFill>
                    <w14:schemeClr w14:val="tx1"/>
                  </w14:solidFill>
                </w14:textFill>
              </w:rPr>
              <w:t>Note: This UE feature group is applicable only for bands in Table 5-1 in TR 38.876</w:t>
            </w:r>
          </w:p>
        </w:tc>
        <w:tc>
          <w:tcPr>
            <w:tcW w:w="1595"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9"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Times New Roman" w:cs="Times New Roman"/>
                <w:b w:val="0"/>
                <w:bCs/>
                <w:color w:val="000000"/>
                <w:sz w:val="15"/>
                <w:szCs w:val="15"/>
                <w:highlight w:val="none"/>
                <w:lang w:val="en-US" w:eastAsia="ja-JP" w:bidi="ar-SA"/>
              </w:rPr>
            </w:pPr>
            <w:r>
              <w:rPr>
                <w:rFonts w:hint="default" w:ascii="Times New Roman" w:hAnsi="Times New Roman" w:eastAsia="Times New Roman" w:cs="Times New Roman"/>
                <w:b w:val="0"/>
                <w:bCs/>
                <w:color w:val="000000"/>
                <w:sz w:val="15"/>
                <w:szCs w:val="15"/>
                <w:highlight w:val="none"/>
                <w:lang w:val="en-US" w:eastAsia="ja-JP" w:bidi="ar-SA"/>
              </w:rPr>
              <w:t>xx-x</w:t>
            </w:r>
          </w:p>
        </w:tc>
        <w:tc>
          <w:tcPr>
            <w:tcW w:w="959"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lang w:eastAsia="zh-CN"/>
                <w14:textFill>
                  <w14:solidFill>
                    <w14:schemeClr w14:val="tx1"/>
                  </w14:solidFill>
                </w14:textFill>
              </w:rPr>
              <w:t>K1 range extension</w:t>
            </w:r>
          </w:p>
        </w:tc>
        <w:tc>
          <w:tcPr>
            <w:tcW w:w="1077" w:type="dxa"/>
            <w:tcBorders>
              <w:top w:val="single" w:color="auto" w:sz="4" w:space="0"/>
              <w:left w:val="single" w:color="auto" w:sz="4" w:space="0"/>
              <w:bottom w:val="single" w:color="auto" w:sz="4" w:space="0"/>
              <w:right w:val="single" w:color="auto" w:sz="4" w:space="0"/>
            </w:tcBorders>
            <w:vAlign w:val="top"/>
          </w:tcPr>
          <w:p>
            <w:pPr>
              <w:pStyle w:val="112"/>
              <w:numPr>
                <w:ilvl w:val="0"/>
                <w:numId w:val="0"/>
              </w:numPr>
              <w:spacing w:after="120" w:afterLines="50"/>
              <w:contextualSpacing/>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eastAsia="Times New Roman" w:cs="Times New Roman"/>
                <w:b w:val="0"/>
                <w:bCs/>
                <w:color w:val="000000"/>
                <w:sz w:val="15"/>
                <w:szCs w:val="15"/>
                <w:highlight w:val="none"/>
                <w:lang w:val="en-GB" w:eastAsia="ja-JP" w:bidi="ar-SA"/>
              </w:rPr>
              <w:t>Support of extended K1 value range of (0..31) for unpaired spectrum</w:t>
            </w:r>
          </w:p>
        </w:tc>
        <w:tc>
          <w:tcPr>
            <w:tcW w:w="1077"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lang w:eastAsia="zh-CN"/>
                <w14:textFill>
                  <w14:solidFill>
                    <w14:schemeClr w14:val="tx1"/>
                  </w14:solidFill>
                </w14:textFill>
              </w:rPr>
              <w:t>Yes</w:t>
            </w:r>
          </w:p>
        </w:tc>
        <w:tc>
          <w:tcPr>
            <w:tcW w:w="1077"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Gulim"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lang w:eastAsia="zh-CN"/>
                <w14:textFill>
                  <w14:solidFill>
                    <w14:schemeClr w14:val="tx1"/>
                  </w14:solidFill>
                </w14:textFill>
              </w:rPr>
              <w:t>No</w:t>
            </w:r>
          </w:p>
        </w:tc>
        <w:tc>
          <w:tcPr>
            <w:tcW w:w="1077"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宋体"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lang w:eastAsia="zh-CN"/>
                <w14:textFill>
                  <w14:solidFill>
                    <w14:schemeClr w14:val="tx1"/>
                  </w14:solidFill>
                </w14:textFill>
              </w:rPr>
              <w:t xml:space="preserve">K1 range extension is not supported </w:t>
            </w:r>
          </w:p>
        </w:tc>
        <w:tc>
          <w:tcPr>
            <w:tcW w:w="1077"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宋体"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lang w:eastAsia="zh-CN"/>
                <w14:textFill>
                  <w14:solidFill>
                    <w14:schemeClr w14:val="tx1"/>
                  </w14:solidFill>
                </w14:textFill>
              </w:rPr>
              <w:t>Per band</w:t>
            </w:r>
          </w:p>
        </w:tc>
        <w:tc>
          <w:tcPr>
            <w:tcW w:w="1757" w:type="dxa"/>
            <w:tcBorders>
              <w:top w:val="single" w:color="auto" w:sz="4" w:space="0"/>
              <w:left w:val="single" w:color="auto" w:sz="4" w:space="0"/>
              <w:bottom w:val="single" w:color="auto" w:sz="4" w:space="0"/>
              <w:right w:val="single" w:color="auto" w:sz="4" w:space="0"/>
            </w:tcBorders>
            <w:vAlign w:val="top"/>
          </w:tcPr>
          <w:p>
            <w:pPr>
              <w:pStyle w:val="118"/>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14:textFill>
                  <w14:solidFill>
                    <w14:schemeClr w14:val="tx1"/>
                  </w14:solidFill>
                </w14:textFill>
              </w:rPr>
              <w:t>Note: This UE feature group is applicable only for bands in Table 5-1 in TR 38.876</w:t>
            </w:r>
          </w:p>
        </w:tc>
        <w:tc>
          <w:tcPr>
            <w:tcW w:w="1595" w:type="dxa"/>
            <w:tcBorders>
              <w:top w:val="single" w:color="auto" w:sz="4" w:space="0"/>
              <w:left w:val="single" w:color="auto" w:sz="4" w:space="0"/>
              <w:bottom w:val="single" w:color="auto" w:sz="4" w:space="0"/>
              <w:right w:val="single" w:color="auto" w:sz="4" w:space="0"/>
            </w:tcBorders>
            <w:vAlign w:val="top"/>
          </w:tcPr>
          <w:p>
            <w:pPr>
              <w:pStyle w:val="150"/>
              <w:ind w:firstLine="0" w:firstLineChars="0"/>
              <w:jc w:val="left"/>
              <w:rPr>
                <w:rFonts w:hint="default" w:ascii="Times New Roman" w:hAnsi="Times New Roman" w:eastAsia="Times New Roman" w:cs="Times New Roman"/>
                <w:b/>
                <w:color w:val="000000"/>
                <w:sz w:val="15"/>
                <w:szCs w:val="15"/>
                <w:highlight w:val="none"/>
                <w:lang w:val="en-GB" w:eastAsia="ja-JP" w:bidi="ar-SA"/>
              </w:rPr>
            </w:pPr>
            <w:r>
              <w:rPr>
                <w:rFonts w:hint="default" w:ascii="Times New Roman" w:hAnsi="Times New Roman" w:cs="Times New Roman"/>
                <w:color w:val="000000" w:themeColor="text1"/>
                <w:sz w:val="15"/>
                <w:szCs w:val="15"/>
                <w:highlight w:val="none"/>
                <w14:textFill>
                  <w14:solidFill>
                    <w14:schemeClr w14:val="tx1"/>
                  </w14:solidFill>
                </w14:textFill>
              </w:rPr>
              <w:t xml:space="preserve">Optional with capability signalling </w:t>
            </w:r>
          </w:p>
        </w:tc>
      </w:tr>
    </w:tbl>
    <w:p>
      <w:pPr>
        <w:keepNext w:val="0"/>
        <w:keepLines w:val="0"/>
        <w:pageBreakBefore w:val="0"/>
        <w:widowControl w:val="0"/>
        <w:kinsoku/>
        <w:wordWrap/>
        <w:overflowPunct/>
        <w:topLinePunct w:val="0"/>
        <w:autoSpaceDE/>
        <w:autoSpaceDN/>
        <w:bidi w:val="0"/>
        <w:adjustRightInd/>
        <w:snapToGrid/>
        <w:spacing w:before="120" w:beforeLines="50" w:after="0" w:afterLines="50"/>
        <w:textAlignment w:val="auto"/>
        <w:rPr>
          <w:rFonts w:hint="default" w:ascii="Times New Roman" w:hAnsi="Times New Roman" w:cs="Times New Roman"/>
          <w:b/>
          <w:iCs/>
          <w:sz w:val="20"/>
          <w:szCs w:val="20"/>
          <w:lang w:val="en-US"/>
        </w:rPr>
      </w:pPr>
    </w:p>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after="120"/>
        <w:ind w:left="363" w:hanging="363"/>
        <w:rPr>
          <w:rFonts w:ascii="Times New Roman" w:hAnsi="Times New Roman"/>
          <w:sz w:val="28"/>
          <w:szCs w:val="28"/>
        </w:rPr>
      </w:pPr>
      <w:r>
        <w:rPr>
          <w:rFonts w:ascii="Times New Roman" w:hAnsi="Times New Roman"/>
          <w:sz w:val="28"/>
          <w:szCs w:val="28"/>
        </w:rPr>
        <w:t>References</w:t>
      </w:r>
    </w:p>
    <w:p>
      <w:pPr>
        <w:pStyle w:val="112"/>
        <w:numPr>
          <w:ilvl w:val="0"/>
          <w:numId w:val="13"/>
        </w:numPr>
        <w:spacing w:before="120" w:after="120"/>
        <w:ind w:firstLineChars="0"/>
        <w:rPr>
          <w:rFonts w:cs="Times New Roman"/>
          <w:sz w:val="20"/>
          <w:szCs w:val="20"/>
          <w:highlight w:val="none"/>
        </w:rPr>
      </w:pPr>
      <w:bookmarkStart w:id="5" w:name="_Ref78875676"/>
      <w:bookmarkStart w:id="6" w:name="_Ref23496549"/>
      <w:bookmarkStart w:id="7" w:name="_Ref533782101"/>
      <w:bookmarkStart w:id="8" w:name="_Ref83712416"/>
      <w:bookmarkStart w:id="9" w:name="_Ref521313643"/>
      <w:bookmarkStart w:id="10" w:name="_Ref60817485"/>
      <w:bookmarkStart w:id="11" w:name="_Ref53511278"/>
      <w:bookmarkStart w:id="12" w:name="_Ref86784880"/>
      <w:bookmarkStart w:id="13" w:name="_Ref521162878"/>
      <w:bookmarkStart w:id="14" w:name="_Ref71203205"/>
      <w:bookmarkStart w:id="15" w:name="_Ref505867252"/>
      <w:bookmarkStart w:id="16" w:name="_Ref505807368"/>
      <w:bookmarkStart w:id="17" w:name="_Ref30757894"/>
      <w:bookmarkStart w:id="18" w:name="_Ref53491160"/>
      <w:r>
        <w:rPr>
          <w:rFonts w:hint="eastAsia" w:cs="Times New Roman"/>
          <w:sz w:val="20"/>
          <w:szCs w:val="20"/>
          <w:highlight w:val="none"/>
        </w:rPr>
        <w:t>R1-2304244</w:t>
      </w:r>
      <w:r>
        <w:rPr>
          <w:rFonts w:hint="default" w:cs="Times New Roman"/>
          <w:sz w:val="20"/>
          <w:szCs w:val="20"/>
          <w:highlight w:val="none"/>
          <w:lang w:val="en-US"/>
        </w:rPr>
        <w:t xml:space="preserve">, </w:t>
      </w:r>
      <w:r>
        <w:rPr>
          <w:rFonts w:hint="eastAsia" w:cs="Times New Roman"/>
          <w:sz w:val="20"/>
          <w:szCs w:val="20"/>
          <w:highlight w:val="none"/>
        </w:rPr>
        <w:t>Summary EOM on 9.9.1 Coverage enhancement for NR NTN</w:t>
      </w:r>
      <w:r>
        <w:rPr>
          <w:rFonts w:hint="default" w:cs="Times New Roman"/>
          <w:sz w:val="20"/>
          <w:szCs w:val="20"/>
          <w:highlight w:val="none"/>
          <w:lang w:val="en-US"/>
        </w:rPr>
        <w:t>, April 17th – April 26th, 2023.</w:t>
      </w:r>
    </w:p>
    <w:p>
      <w:pPr>
        <w:pStyle w:val="112"/>
        <w:numPr>
          <w:ilvl w:val="0"/>
          <w:numId w:val="13"/>
        </w:numPr>
        <w:spacing w:before="120" w:after="120"/>
        <w:ind w:firstLineChars="0"/>
        <w:rPr>
          <w:rFonts w:cs="Times New Roman"/>
          <w:sz w:val="20"/>
          <w:szCs w:val="20"/>
          <w:highlight w:val="none"/>
        </w:rPr>
      </w:pPr>
      <w:r>
        <w:rPr>
          <w:rFonts w:hint="default" w:cs="Times New Roman"/>
          <w:sz w:val="20"/>
          <w:szCs w:val="20"/>
          <w:highlight w:val="none"/>
          <w:lang w:val="en-US"/>
        </w:rPr>
        <w:t xml:space="preserve">TR38.876 v0.3.0, </w:t>
      </w:r>
      <w:r>
        <w:rPr>
          <w:rFonts w:hint="eastAsia" w:cs="Times New Roman"/>
          <w:sz w:val="20"/>
          <w:szCs w:val="20"/>
          <w:highlight w:val="none"/>
        </w:rPr>
        <w:t>Study on Air-to-ground network for NR (Release 18)</w:t>
      </w:r>
      <w:r>
        <w:rPr>
          <w:rFonts w:hint="default" w:cs="Times New Roman"/>
          <w:sz w:val="20"/>
          <w:szCs w:val="20"/>
          <w:highlight w:val="none"/>
          <w:lang w:val="en-US"/>
        </w:rPr>
        <w:t>.</w:t>
      </w:r>
    </w:p>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112"/>
        <w:numPr>
          <w:ilvl w:val="0"/>
          <w:numId w:val="0"/>
        </w:numPr>
        <w:spacing w:before="120" w:after="120"/>
        <w:ind w:leftChars="0"/>
        <w:rPr>
          <w:rFonts w:cs="Times New Roman"/>
          <w:sz w:val="20"/>
          <w:szCs w:val="20"/>
          <w:highlight w:val="yellow"/>
        </w:rPr>
      </w:pPr>
    </w:p>
    <w:sectPr>
      <w:footerReference r:id="rId3" w:type="default"/>
      <w:pgSz w:w="12240" w:h="15840"/>
      <w:pgMar w:top="1417" w:right="1134" w:bottom="1134" w:left="1134"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9</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11</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71D98"/>
    <w:multiLevelType w:val="multilevel"/>
    <w:tmpl w:val="C2171D98"/>
    <w:lvl w:ilvl="0" w:tentative="0">
      <w:start w:val="1"/>
      <w:numFmt w:val="decimal"/>
      <w:pStyle w:val="2"/>
      <w:lvlText w:val="%1"/>
      <w:lvlJc w:val="left"/>
      <w:pPr>
        <w:ind w:left="432" w:hanging="432"/>
      </w:pPr>
    </w:lvl>
    <w:lvl w:ilvl="1" w:tentative="0">
      <w:start w:val="2"/>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2">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3">
    <w:nsid w:val="1ED4535E"/>
    <w:multiLevelType w:val="multilevel"/>
    <w:tmpl w:val="1ED453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7">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8">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9">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2">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0"/>
  </w:num>
  <w:num w:numId="3">
    <w:abstractNumId w:val="1"/>
  </w:num>
  <w:num w:numId="4">
    <w:abstractNumId w:val="6"/>
  </w:num>
  <w:num w:numId="5">
    <w:abstractNumId w:val="11"/>
  </w:num>
  <w:num w:numId="6">
    <w:abstractNumId w:val="12"/>
  </w:num>
  <w:num w:numId="7">
    <w:abstractNumId w:val="7"/>
    <w:lvlOverride w:ilvl="0">
      <w:startOverride w:val="1"/>
    </w:lvlOverride>
  </w:num>
  <w:num w:numId="8">
    <w:abstractNumId w:val="5"/>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 w:numId="12">
    <w:abstractNumId w:val="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352"/>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8CE"/>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18A2B80"/>
    <w:rsid w:val="02B35765"/>
    <w:rsid w:val="03CE1F7E"/>
    <w:rsid w:val="04C77D18"/>
    <w:rsid w:val="04F34BAE"/>
    <w:rsid w:val="05035F9A"/>
    <w:rsid w:val="05244922"/>
    <w:rsid w:val="05705523"/>
    <w:rsid w:val="05A04166"/>
    <w:rsid w:val="05F12C35"/>
    <w:rsid w:val="06825770"/>
    <w:rsid w:val="07981EFC"/>
    <w:rsid w:val="07AA0A78"/>
    <w:rsid w:val="07AE362C"/>
    <w:rsid w:val="07BE0C42"/>
    <w:rsid w:val="07C8600C"/>
    <w:rsid w:val="07DC71F7"/>
    <w:rsid w:val="081541F3"/>
    <w:rsid w:val="087B16CC"/>
    <w:rsid w:val="08A31148"/>
    <w:rsid w:val="090F0A27"/>
    <w:rsid w:val="09ED62C1"/>
    <w:rsid w:val="09F76D30"/>
    <w:rsid w:val="0AA56418"/>
    <w:rsid w:val="0AEF5078"/>
    <w:rsid w:val="0B2A4253"/>
    <w:rsid w:val="0B6757B0"/>
    <w:rsid w:val="0D3A43C5"/>
    <w:rsid w:val="0D8F6CA2"/>
    <w:rsid w:val="0E0F7096"/>
    <w:rsid w:val="0E99781D"/>
    <w:rsid w:val="0ED33331"/>
    <w:rsid w:val="0F05109E"/>
    <w:rsid w:val="0F165F02"/>
    <w:rsid w:val="10043ED9"/>
    <w:rsid w:val="105B445C"/>
    <w:rsid w:val="106F24A6"/>
    <w:rsid w:val="118C11E1"/>
    <w:rsid w:val="12C7524D"/>
    <w:rsid w:val="12F9224E"/>
    <w:rsid w:val="142347F2"/>
    <w:rsid w:val="143A78AF"/>
    <w:rsid w:val="1590778F"/>
    <w:rsid w:val="163D03B6"/>
    <w:rsid w:val="16B42F90"/>
    <w:rsid w:val="18226369"/>
    <w:rsid w:val="18271971"/>
    <w:rsid w:val="18423C94"/>
    <w:rsid w:val="18B70AB7"/>
    <w:rsid w:val="19221AA0"/>
    <w:rsid w:val="19EE48E6"/>
    <w:rsid w:val="1A2A5859"/>
    <w:rsid w:val="1AA3618B"/>
    <w:rsid w:val="1AB14D75"/>
    <w:rsid w:val="1B1B638F"/>
    <w:rsid w:val="1C007BFD"/>
    <w:rsid w:val="1C0E3D46"/>
    <w:rsid w:val="1DA241C9"/>
    <w:rsid w:val="1DA472EC"/>
    <w:rsid w:val="1DEE0B9C"/>
    <w:rsid w:val="1E197BEF"/>
    <w:rsid w:val="1E2B7484"/>
    <w:rsid w:val="1E8A6E8B"/>
    <w:rsid w:val="1EDF7A19"/>
    <w:rsid w:val="1FA55A99"/>
    <w:rsid w:val="1FF46EE1"/>
    <w:rsid w:val="2109097E"/>
    <w:rsid w:val="21220666"/>
    <w:rsid w:val="21A15951"/>
    <w:rsid w:val="21AC0E1A"/>
    <w:rsid w:val="22767996"/>
    <w:rsid w:val="22B732ED"/>
    <w:rsid w:val="22E30788"/>
    <w:rsid w:val="22EE4ED0"/>
    <w:rsid w:val="23116DD5"/>
    <w:rsid w:val="235B45A7"/>
    <w:rsid w:val="239512F6"/>
    <w:rsid w:val="24444968"/>
    <w:rsid w:val="24513808"/>
    <w:rsid w:val="250F2E42"/>
    <w:rsid w:val="251A5ED6"/>
    <w:rsid w:val="25B20C39"/>
    <w:rsid w:val="25DF0B4A"/>
    <w:rsid w:val="26246D94"/>
    <w:rsid w:val="26943921"/>
    <w:rsid w:val="26C53A18"/>
    <w:rsid w:val="272476A5"/>
    <w:rsid w:val="28051B99"/>
    <w:rsid w:val="28330FCA"/>
    <w:rsid w:val="28427A53"/>
    <w:rsid w:val="28A53D43"/>
    <w:rsid w:val="29CC36E1"/>
    <w:rsid w:val="29FC0B11"/>
    <w:rsid w:val="2A267740"/>
    <w:rsid w:val="2A2749D4"/>
    <w:rsid w:val="2A685279"/>
    <w:rsid w:val="2B073A85"/>
    <w:rsid w:val="2B3B62FA"/>
    <w:rsid w:val="2B4D41AF"/>
    <w:rsid w:val="2C952509"/>
    <w:rsid w:val="2CAD7E95"/>
    <w:rsid w:val="2CC97543"/>
    <w:rsid w:val="2D2A7528"/>
    <w:rsid w:val="2D501272"/>
    <w:rsid w:val="2E172AAD"/>
    <w:rsid w:val="2EDE3313"/>
    <w:rsid w:val="2EE95763"/>
    <w:rsid w:val="30262B0C"/>
    <w:rsid w:val="30380301"/>
    <w:rsid w:val="30A77565"/>
    <w:rsid w:val="31852BDF"/>
    <w:rsid w:val="31884C6F"/>
    <w:rsid w:val="31AA7E11"/>
    <w:rsid w:val="323B64BA"/>
    <w:rsid w:val="3266785D"/>
    <w:rsid w:val="32A926D7"/>
    <w:rsid w:val="33DF2F00"/>
    <w:rsid w:val="353C0870"/>
    <w:rsid w:val="354143FE"/>
    <w:rsid w:val="35452ACC"/>
    <w:rsid w:val="36D06894"/>
    <w:rsid w:val="371C2FBD"/>
    <w:rsid w:val="375B5CC2"/>
    <w:rsid w:val="375F1C3C"/>
    <w:rsid w:val="37777E94"/>
    <w:rsid w:val="380A77A6"/>
    <w:rsid w:val="38A014BA"/>
    <w:rsid w:val="38BC1007"/>
    <w:rsid w:val="39184EF6"/>
    <w:rsid w:val="396F1629"/>
    <w:rsid w:val="397F4EFA"/>
    <w:rsid w:val="39A23A78"/>
    <w:rsid w:val="39D34B3B"/>
    <w:rsid w:val="3A9F0F13"/>
    <w:rsid w:val="3B971C67"/>
    <w:rsid w:val="3BA35F7F"/>
    <w:rsid w:val="3C4279EE"/>
    <w:rsid w:val="3DAC0DC1"/>
    <w:rsid w:val="3DB510F8"/>
    <w:rsid w:val="3E3C2BB1"/>
    <w:rsid w:val="3F353074"/>
    <w:rsid w:val="3F365DF6"/>
    <w:rsid w:val="3F530E1A"/>
    <w:rsid w:val="41883202"/>
    <w:rsid w:val="41CA3534"/>
    <w:rsid w:val="41DF61C1"/>
    <w:rsid w:val="41EA2F69"/>
    <w:rsid w:val="41F3126C"/>
    <w:rsid w:val="42D274BE"/>
    <w:rsid w:val="433A77EC"/>
    <w:rsid w:val="44512738"/>
    <w:rsid w:val="44E93DFE"/>
    <w:rsid w:val="44F95BD7"/>
    <w:rsid w:val="45906837"/>
    <w:rsid w:val="45B52D8B"/>
    <w:rsid w:val="45E91030"/>
    <w:rsid w:val="47256546"/>
    <w:rsid w:val="47940043"/>
    <w:rsid w:val="47E04994"/>
    <w:rsid w:val="49EB6B13"/>
    <w:rsid w:val="4A0542D4"/>
    <w:rsid w:val="4AD06386"/>
    <w:rsid w:val="4AFD1EAC"/>
    <w:rsid w:val="4B1A77EF"/>
    <w:rsid w:val="4B4B5694"/>
    <w:rsid w:val="4B5371EF"/>
    <w:rsid w:val="4BE8777B"/>
    <w:rsid w:val="4C022F0E"/>
    <w:rsid w:val="4D262CD7"/>
    <w:rsid w:val="4D2A6888"/>
    <w:rsid w:val="4DDC3DE0"/>
    <w:rsid w:val="4E40031C"/>
    <w:rsid w:val="4E4E624C"/>
    <w:rsid w:val="4ED3526E"/>
    <w:rsid w:val="4F090424"/>
    <w:rsid w:val="4F833934"/>
    <w:rsid w:val="4FF65DB9"/>
    <w:rsid w:val="511331D1"/>
    <w:rsid w:val="513739AC"/>
    <w:rsid w:val="514271E3"/>
    <w:rsid w:val="51513D64"/>
    <w:rsid w:val="516D5099"/>
    <w:rsid w:val="516E04FD"/>
    <w:rsid w:val="536F5B67"/>
    <w:rsid w:val="53D8539B"/>
    <w:rsid w:val="54E67B42"/>
    <w:rsid w:val="551D6EE5"/>
    <w:rsid w:val="558C3D21"/>
    <w:rsid w:val="55920CCE"/>
    <w:rsid w:val="55A0735A"/>
    <w:rsid w:val="569E4C15"/>
    <w:rsid w:val="56FD438B"/>
    <w:rsid w:val="574A65A9"/>
    <w:rsid w:val="581973E8"/>
    <w:rsid w:val="58641E3E"/>
    <w:rsid w:val="59D37472"/>
    <w:rsid w:val="59FB7AF8"/>
    <w:rsid w:val="5A3449EE"/>
    <w:rsid w:val="5A3D3E28"/>
    <w:rsid w:val="5B697B34"/>
    <w:rsid w:val="5BC86E13"/>
    <w:rsid w:val="5C040EB3"/>
    <w:rsid w:val="5CD33278"/>
    <w:rsid w:val="5CFF2209"/>
    <w:rsid w:val="5E171F06"/>
    <w:rsid w:val="5E856738"/>
    <w:rsid w:val="5EC559B7"/>
    <w:rsid w:val="5ED03EA2"/>
    <w:rsid w:val="5F7C2328"/>
    <w:rsid w:val="60AF647D"/>
    <w:rsid w:val="60FB7836"/>
    <w:rsid w:val="6162350D"/>
    <w:rsid w:val="616C04FA"/>
    <w:rsid w:val="62665E83"/>
    <w:rsid w:val="626B4A40"/>
    <w:rsid w:val="62CA7377"/>
    <w:rsid w:val="62CD6774"/>
    <w:rsid w:val="62FB1114"/>
    <w:rsid w:val="63000BBE"/>
    <w:rsid w:val="630376C1"/>
    <w:rsid w:val="64975F98"/>
    <w:rsid w:val="6573415E"/>
    <w:rsid w:val="65C21F03"/>
    <w:rsid w:val="65CD3E0E"/>
    <w:rsid w:val="65CE2BDF"/>
    <w:rsid w:val="66E573DB"/>
    <w:rsid w:val="673027E6"/>
    <w:rsid w:val="674352F2"/>
    <w:rsid w:val="67865374"/>
    <w:rsid w:val="67A4797C"/>
    <w:rsid w:val="690D44BB"/>
    <w:rsid w:val="69DE4266"/>
    <w:rsid w:val="6A6C3E93"/>
    <w:rsid w:val="6BDF3773"/>
    <w:rsid w:val="6BE63CCE"/>
    <w:rsid w:val="6C0B7A96"/>
    <w:rsid w:val="6C687EF1"/>
    <w:rsid w:val="6C716AE8"/>
    <w:rsid w:val="6C801C4F"/>
    <w:rsid w:val="6CCB3221"/>
    <w:rsid w:val="6D0378BB"/>
    <w:rsid w:val="6D114672"/>
    <w:rsid w:val="6D815699"/>
    <w:rsid w:val="6DC41FEE"/>
    <w:rsid w:val="6EE37036"/>
    <w:rsid w:val="703B4B3B"/>
    <w:rsid w:val="70AC28A3"/>
    <w:rsid w:val="712F1BFF"/>
    <w:rsid w:val="714F03A7"/>
    <w:rsid w:val="71737E2E"/>
    <w:rsid w:val="71875455"/>
    <w:rsid w:val="72CC52B9"/>
    <w:rsid w:val="72F674A8"/>
    <w:rsid w:val="73065C8D"/>
    <w:rsid w:val="738D1385"/>
    <w:rsid w:val="738F1B31"/>
    <w:rsid w:val="73A43094"/>
    <w:rsid w:val="74073B1D"/>
    <w:rsid w:val="746F025A"/>
    <w:rsid w:val="74810723"/>
    <w:rsid w:val="765358F5"/>
    <w:rsid w:val="76AA3580"/>
    <w:rsid w:val="770C1221"/>
    <w:rsid w:val="77180920"/>
    <w:rsid w:val="7787087B"/>
    <w:rsid w:val="78CB28DE"/>
    <w:rsid w:val="78E01D89"/>
    <w:rsid w:val="79A85048"/>
    <w:rsid w:val="7B252B0C"/>
    <w:rsid w:val="7BC344B7"/>
    <w:rsid w:val="7D443453"/>
    <w:rsid w:val="7D6519E7"/>
    <w:rsid w:val="7D73690D"/>
    <w:rsid w:val="7E431004"/>
    <w:rsid w:val="7E562088"/>
    <w:rsid w:val="7E852B2A"/>
    <w:rsid w:val="7EBE2D98"/>
    <w:rsid w:val="7F095038"/>
    <w:rsid w:val="7FB6466D"/>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表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table" w:customStyle="1" w:styleId="213">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214">
    <w:name w:val="x_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215">
    <w:name w:val="x_msolistparagraph"/>
    <w:basedOn w:val="1"/>
    <w:qFormat/>
    <w:uiPriority w:val="0"/>
    <w:pPr>
      <w:ind w:left="800"/>
    </w:pPr>
    <w:rPr>
      <w:rFonts w:eastAsia="宋体"/>
      <w:lang w:val="en-US" w:eastAsia="zh-CN"/>
    </w:rPr>
  </w:style>
  <w:style w:type="paragraph" w:customStyle="1" w:styleId="216">
    <w:name w:val="Draft Proposal"/>
    <w:basedOn w:val="23"/>
    <w:next w:val="1"/>
    <w:qFormat/>
    <w:uiPriority w:val="99"/>
    <w:pPr>
      <w:tabs>
        <w:tab w:val="left" w:pos="1304"/>
        <w:tab w:val="left" w:pos="1701"/>
      </w:tabs>
      <w:spacing w:after="160" w:line="259" w:lineRule="auto"/>
      <w:ind w:left="1304" w:hanging="1304"/>
      <w:jc w:val="left"/>
    </w:pPr>
    <w:rPr>
      <w:rFonts w:ascii="Arial" w:hAnsi="Arial" w:eastAsiaTheme="minorHAnsi" w:cstheme="minorBidi"/>
      <w:b/>
      <w:bCs/>
      <w:sz w:val="22"/>
      <w:szCs w:val="22"/>
      <w:lang w:val="en-US"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8B1A1-ED14-4A3A-BB43-BF89B2C11192}">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5</Pages>
  <Words>2026</Words>
  <Characters>11550</Characters>
  <Lines>96</Lines>
  <Paragraphs>27</Paragraphs>
  <TotalTime>10</TotalTime>
  <ScaleCrop>false</ScaleCrop>
  <LinksUpToDate>false</LinksUpToDate>
  <CharactersWithSpaces>13549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2023-05-15T03:44:25Z</dcterms:modified>
  <cp:revision>2476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9D61CD0B7098483DB43DC0D94F622986</vt:lpwstr>
  </property>
</Properties>
</file>